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E-1098/2011 vom 30. August 2011</w:t>
      </w:r>
    </w:p>
    <w:p>
      <w:r>
        <w:t>Bundesverwaltungsgericht, 2011-08-30, DE</w:t>
      </w:r>
    </w:p>
    <w:p>
      <w:r>
        <w:rPr>
          <w:b/>
        </w:rPr>
        <w:t xml:space="preserve">Quelle: </w:t>
      </w:r>
      <w:r>
        <w:t>https://mcp.opencaselaw.ch/entscheid/bvger_E-1098_2011</w:t>
      </w:r>
    </w:p>
    <w:p>
      <w:r>
        <w:t>FR: TAF E-1098/2011 du 30 août 2011</w:t>
      </w:r>
    </w:p>
    <w:p>
      <w:r>
        <w:t>IT: TAF E-1098/2011 del 30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Entscheid insbesondere mit der Unglaubhaftigkeit der Vorbringen. Diese würden in wesentlichen Punkten Widersprüche enthalten, seien unsubstantiiert und nicht nachvollziehbar. So habe die Beschwerdeführerin erzählt, zum Zeitpunkt des Überfalls am 25. November 2010 hätten sie und ihr Ehemann ferngesehen, während dieser angegeben habe, geschlafen zu haben. Zudem seien verschiedene Angaben zum Ort der Vergewaltigungen gemacht worden; gemäss der Beschwerdeführerin hätten diese in der Küche, gemäss dem Beschwerdeführer im Zimmer der Eheleute stattgefunden. Die Beschwerdeführenden hätten im Weiteren nicht einheitlich aufzeigen können, wo genau sich die Speisekammer befunden habe; die Eheleute sowie die älteste Tochter hätten jeweils andere Angaben gemacht. In Bezug auf die Täter habe der Beschwerdeführer ausgesagt, er habe zwei der drei Männer anhand ihrer Stimmen erkannt; diese hätten die Familie bereits in der Vergangenheit mehrfach angegriffen. Seine Ehefrau hingegen habe zu Protokoll gegeben, niemanden erkannt zu haben. Die Erklärungen der Beschwerdeführenden zu diesen Widersprüchen hätten in keiner Weise überzeugt. Schliess­lich habe die Beschwerdeführerin die Vergewaltigung unsubstantiiert und dürftig geschildert; sie sei beispielsweise nicht in der Lage gewesen, ihre Peiniger auch nur ansatzweise zu beschreiben. Das BFM erachtete die Vorbringen der Beschwerdeführenden im Übrigen auch nicht als asylrelevant, da von einem adäquaten Schutz durch den Heimatstaat auszugehen sei. Es könne zwar in einzelnen Fällen vorkommen, dass Behördenvertreter mit niederen Chargen die notwendigen Untersuchungsmassnahmen trotz wiederholten Intervenierens nicht oder nicht sofort einleiten würden. Es bestehe jedoch die Möglichkeit, gegen fehlbare Beamte auf dem Rechtsweg vorzugehen und die zustehenden Rechte bei höheren Instanzen einzufordern.</w:t>
      </w:r>
    </w:p>
    <w:p>
      <w:r>
        <w:rPr>
          <w:b/>
        </w:rPr>
        <w:t>E. 5.2</w:t>
      </w:r>
    </w:p>
    <w:p>
      <w:r>
        <w:t>Die Beschwerdeführenden hielten den Erwägungen der Vorinstanz in ihrer Beschwerdeschrift entgegen, bei den vorgebrachten Widersprüchen handle es sich um kleine Detailabweichungen, die bei jeder Aussage passieren würden. Es sei nicht rechtmässig, ihnen aufgrund dieser unwesentlichen Abweichungen vorzuwerfen, ihre Vorbringen seien nicht glaubhaft. Zudem seien sie alle nach diesen Erlebnissen traumatisiert. Die Kinder wüssten nicht, was eine Kindheit bedeute; sie seien (aufgrund ihrer Herkunft) von klein auf schikaniert worden. Die Beschwerdeführerin leide noch immer enorm unter den erlittenen Traumata und befinde sich in ärztlicher Behandlung. Um polizeilichen Schutz hätten sie sich in ihrem Heimatland immer wieder bemüht, doch seien sie nicht ernst genommen worden. Nach dem Vorfall vom 25. November 2010 hätten sie sich ausserdem an die Gemeinde gewandt und um eine Unterkunft in einem anderen Dorf gebeten. Auch dort habe man ihnen nicht weitergeholfen. Sie hätten alles in ihrer Macht stehende getan, um Schutz durch die serbischen Behörden zu erhalten, doch seien diese nicht bereit gewesen, den Beschwerdeführenden zu helfen. Selbst wenn sich der serbische Staat laut serbischen Gesetzen verpflichtet habe, auch Roma vor Überfällen zu schützen, so ändere dies nichts daran, dass sich sämtliche von ihnen angerufenen Behörden geweigert hätten, ihnen Schutz zu geben.</w:t>
      </w:r>
    </w:p>
    <w:p>
      <w:r>
        <w:rPr>
          <w:b/>
        </w:rPr>
        <w:t>E. 5.3.1</w:t>
      </w:r>
    </w:p>
    <w:p>
      <w:r>
        <w:t>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Die Beschwerdeführenden haben den Inhalt sämtlicher Protokolle mit ihrer Unterschrift genehmigt und müssen sich deshalb ihre Aussagen grundsätzlich entgegenhalten lassen.</w:t>
      </w:r>
    </w:p>
    <w:p>
      <w:r>
        <w:rPr>
          <w:b/>
        </w:rPr>
        <w:t>E. 5.3.2</w:t>
      </w:r>
    </w:p>
    <w:p>
      <w:r>
        <w:t>Entgegen den Vorbringen der Beschwerdeführenden handelt es sich bei den durch das BFM festgestellten Widersprüchen nicht lediglich um kleine Detailabweichungen. So brachte die Beschwerdeführerin anlässlich ihrer Anhörung vor, sie habe zum Zeitpunkt, als am 25. November 2010 die drei maskierten Männer gekommen seien - nach Mitternacht - mit ihrem Mann ferngesehen, während sie ihr Baby gestillt habe. Was sie gesehen habe, wisse sie nicht mehr, aber sie würden meistens Filme schauen (A14/12 S. 4). Ihr Mann habe gesagt, der Strom sei unterbrochen worden, weshalb er in den Gang hinausgegangen und sofort angegriffen worden sei (A14/12 S. 3). Der Beschwerdeführer führte dagegen aus, er sei schlafen gegangen und dann sei es passiert. Er wisse nicht mehr genau, wie spät es gewesen sei. Es sei der Strom abgeschaltet worden, weshalb er zum Sicherungskasten hinausgegangen sei. Auf die Frage, wie er sich die Schilderung seiner Frau erklären könne, wonach sie gemeinsam ferngeschaut hätten, antwortete er, dass sie nicht alle zur gleichen Zeit schlafen könnten. Sie würden ins Bett gehen und wer schlafe, schlafe (A15/11 S. 5). Auf die Frage, wie er - da er angab, geschlafen zu haben - gemerkt habe, dass der Strom abgeschaltet worden sei, entgegnete der Beschwerdeführer, sie hätten eine Nachttischlampe, die immer brenne. Seine Frau habe ihn geweckt und ihm gesagt, dass es keinen Strom gebe (A15/11 S. 9). Aus den unterschiedlichen Beschreibungen ihres Hauses durch die Beschwerdeführenden wird zudem weder übereinstimmend klar, wo die Vergewaltigung genau stattgefunden (vgl. insbesondere A14/12 S. 3 und 6 [im Zimmer der Eheleute]; A15/11 S. 3 und 6 [in der Küche, in der ein Bett steht]), noch wo sich die Speisekammer befunden haben soll (vgl. A14/12 S. 7 [neben dem Badezimmer]; A15/11 S. 3 [auf dem Weg zum Dachstock]; A6/9 S. 5 [hinter dem Haus]). Diesbezüglich kann auf die Ausführungen der Vorinstanz verwiesen werden, denen beizupflichten ist. Die Beschwerdeführenden vermochten die angesprochenen Widersprüche weder anlässlich der Anhörung noch auf Beschwerdeebene zu entkräften. Dass der Beschwerdeführer zwei der drei maskierten Männer erkannt haben will, die Beschwerdeführerin jedoch nicht, kann dagegen nicht als Widerspruch gewertet werden. Eine abschliessende Glaubhaftigkeitsprüfung erweist sich indes nicht als notwendig, da - wie das BFM in seinen weiteren Erwägungen zu Recht erkannt hat - sich die Situation der ethnischen Minderheiten in Serbien entspannt hat, weshalb die geschilderten Vorfälle - wie nachfolgend dargelegt wird - auch nicht als asylrelevant im Sinne von Art. 3 AsylG zu werten sind.</w:t>
      </w:r>
    </w:p>
    <w:p>
      <w:r>
        <w:rPr>
          <w:b/>
        </w:rPr>
        <w:t>E. 5.4</w:t>
      </w:r>
    </w:p>
    <w:p>
      <w:r>
        <w:t>Serbien gilt seit dem 1. April 2009 als so genanntes Safe-country (Art. 6 Abs. 2 AsylG), weshalb grundsätzlich von der Schutzfähigkeit und vom Schutzwillen dieses Staates auszugehen ist.</w:t>
      </w:r>
    </w:p>
    <w:p>
      <w:r>
        <w:rPr>
          <w:b/>
        </w:rPr>
        <w:t>E. 5.4.1</w:t>
      </w:r>
    </w:p>
    <w:p>
      <w:r>
        <w:t>Am 25. Februar 2002 ist das serbische Bundesgesetz zum Schutz und zur Freiheit der nationalen Minderheiten, welches auch für die anerkannte Minderheit der Roma Geltung beansprucht, in Kraft getreten.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ist die serbische Regierung der "Decade of Ro­ma Inclusion" beigetreten. Dabei handelt es sich um eine internationale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Diese Initiative konzentriert sich schwergewichtig auf die Bereiche Ausbildung, Arbeit, Gesundheit und Wohnen und verpflichtet die Staaten, andere Kernaspekte der Armut, Diskriminierung und Geschlechtergleichstellung zu berücksichtigen. Serbien hat in diesem Zusammenhang vier nationale Aktionsprogramme verabschiedet,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D-915/2011 vom 16. Juni 2011 E. 6.2.1 und E-2444/2007 vom 2. Juli 2010 E. 4.2.1 mit weiteren Hinweisen).</w:t>
      </w:r>
    </w:p>
    <w:p>
      <w:r>
        <w:rPr>
          <w:b/>
        </w:rPr>
        <w:t>E. 5.4.2</w:t>
      </w:r>
    </w:p>
    <w:p>
      <w:r>
        <w:t>In jüngster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woher der Beschwerdeführer stammt,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w:t>
      </w:r>
    </w:p>
    <w:p>
      <w:r>
        <w:rPr>
          <w:b/>
        </w:rPr>
        <w:t>E. 5.4.3</w:t>
      </w:r>
    </w:p>
    <w:p>
      <w:r>
        <w:t>Es ist somit davon auszugehen, dass der serbische Staat fähig und willens ist, ethnischen Minderheiten einen adäquaten Schutz zu gewähren. Es wäre den Beschwerdeführenden zumutbar gewesen, sich für die Anzeige der Tat an einen anderen Polizeiposten zu wenden oder allenfalls die gerichtlichen Instanzen anzurufen. Trotz der Bemühungen der Behörden zur Förderung der Gleichbehandlung werden Roma in Serbien aber nach wie vor Opfer verschiedener Diskriminierungen, namentlich in den Bereichen Bildung, Arbeit, Wohnen und Gesundheit, welche sie in eine prekäre Situation versetzen. Allein mit der Zugehörigkeit zur serbischen Minderheit der Roma und den in diesem Zusammenhang geltend gemachten Diskriminierungen und widrigen Lebensumständen wird aber noch keine individuelle Betroffenheit im Sinne der asylrechtlichen Bestimmungen dargelegt (vgl. das Urteil des Bundesverwaltungsgerichts D-915/2011 vom 16. Juni 2011 E. 6.3).</w:t>
      </w:r>
    </w:p>
    <w:p>
      <w:r>
        <w:rPr>
          <w:b/>
        </w:rPr>
        <w:t>E. 5.5</w:t>
      </w:r>
    </w:p>
    <w:p>
      <w:r>
        <w:t>Zusammenfassend ist festzustellen, dass das BFM den Beschwerdeführenden zu Recht die Flüchtlingseigenschaft nicht zuerkannt und deren Asylgesuche abgewiesen hat.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(BVGE 2009/50 E. 9) und machen dies auch nicht geltend. Die Wegweisung wurde demnach zu Recht angeordnet.</w:t>
      </w:r>
    </w:p>
    <w:p>
      <w:r>
        <w:rPr>
          <w:b/>
        </w:rPr>
        <w:t>E. 7</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Da die Beschwerdeführenden nicht als Flüchtlinge anerkannt werden, hat das BFM zu Recht ausgeführt, dass der Grundsatz der Nichtrückschiebung gemäss Art. 5 Abs. 1 AsylG vorliegend nicht angewendet werden kann. Im Hinblick auf das menschenrechtliche Rückschiebungsverbot nach Art. 3 EMRK ist zu bemerken, dass sich weder aus den Aussagen der Beschwerdeführenden noch aus den Akten Anhaltspunkte für eine konkrete Bedrohung durch Folter oder eine andere Art grausamer und unmenschlicher Behandlung oder Bestrafung entnehmen lassen.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EMARK 2001 Nr. 16, mit weiteren Hinweisen; EGMR, [Grosse Kammer], Saadi gegen Italien, Urteil vom 28. Februar 2008, Beschwerde Nr. 37201/06, §§ 124 - 127, mit weiteren Hinweisen), was sie indes nicht tun. Nach dem Gesagten ist der Vollzug der Wegweisung sowohl im Sinne der asyl- als auch der völkerrechtlichen Bestimmungen zulässig.</w:t>
      </w:r>
    </w:p>
    <w:p>
      <w:r>
        <w:rPr>
          <w:b/>
        </w:rPr>
        <w:t>E. 7.2</w:t>
      </w:r>
    </w:p>
    <w:p>
      <w:r>
        <w:t>Gemäss Art. 83 Abs. 4 AuG ist der Vollzug für Ausländerinnen und Ausländer unzumutbar, wenn sie im Heimat- oder Herkunftsstaat konkret gefährdet sind.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7.2.1</w:t>
      </w:r>
    </w:p>
    <w:p>
      <w:r>
        <w:t>Das BFM führte im angefochtenen Entscheid aus, dass weder die im Heimatstaat herrschende politische Situation noch andere Gründe gegen die Zumutbarkeit der Rückführung nach Serbien sprechen würden. Auch könne in Serbien nicht von einer Situation allgemeiner Gewalt gesprochen werden, die einer konkreten Gefährdung der ethnischen Minderheit der Roma gemäss Art. 83 Abs. 4 AuG gleichkäme. Schliesslich würden auch keine individuellen Gründe gegen die Zumutbarkeit des Wegweisungsvollzugs sprechen. Namentlich würden verschiedene Geschwister der Beschwerdeführenden in der Heimat leben und der Beschwerdeführer habe dort als Tagelöhner gearbeitet. Da die Aussagen der Beschwerdeführenden betreffend ihren letzten Wohnort und ihr soziales Umfeld äusserst rudimentär und undifferenziert ausgefallen seien und sich ihre Vorbringen insgesamt als unglaubwürdig (recte: unglaubhaft) herausgestellt hätten, dürfe davon ausgegangen werden, dass sie entgegen ihren Angaben in Serbien sehr wohl über ein tragfähiges Beziehungsnetz verfügen würden.</w:t>
      </w:r>
    </w:p>
    <w:p>
      <w:r>
        <w:rPr>
          <w:b/>
        </w:rPr>
        <w:t>E. 7.2.2</w:t>
      </w:r>
    </w:p>
    <w:p>
      <w:r>
        <w:t>Die Beschwerdeführenden hielten dem BFM entgegen, dass ihnen bei einer Rückkehr nach Serbien weitere Verfolgung infolge ihrer Ethnie drohen würde. Ihren Kindern sei es nicht möglich bzw. werde es faktisch verwehrt, die Schule zu besuchen und einen Beruf zu erlernen, da sie so lange schikaniert würden, bis die Beschwerdeführenden es nicht mehr wagen würden, sie den Unterricht besuchen zu lassen. Die Vorinstanz habe es unterlassen, die Interessen der Kinder gemäss dem Übereinkommen über die Rechte des Kindes vom 20. November 1989 (KRK, SR 0.107) zu prüfen; schon alleine aus diesem Grund sei die angefochtene Verfügung aufzuheben. Des Weiteren sei die Beschwerdeführerin krank und benötige nach den erlittenen Traumata Unterstützung in der Betreuung der sieben minderjährigen Kinder. Der Beschwerdeführer könne die Familie deshalb nicht alleine ernähren, zumal auch er psychisch enorm leide und durch Schlaflosigkeit und Probleme mit den Nerven gequält werde. In Serbien hätten sie nur wenige Verwandte und jenen sei es nicht möglich, sie nach einer allfälligen Rückkehr zu unterstützen. Damit fehle ein soziales Netz, das sie nach einer Wiederkehr auffangen würde.</w:t>
      </w:r>
    </w:p>
    <w:p>
      <w:r>
        <w:rPr>
          <w:b/>
        </w:rPr>
        <w:t>E. 7.3</w:t>
      </w:r>
    </w:p>
    <w:p>
      <w:r>
        <w:t>Zunächst ist zu prüfen ist, ob das BFM seine Begründungspflicht und damit den Anspruch der Beschwerdeführenden auf rechtliches Gehör (Art. 29 Abs. 2 BV) verletzt hat, indem es in seiner Verfügung keine Ausführungen zum Kindeswohl machte. Gemäss Art. 35 Abs. 1 VwVG ist jede schriftliche Verfügung zu begründen, wobei das VwVG keine besonderen Anforderungen an den Inhalt und den Umfang der Begründung stellt. Die Betroffenen müssen in die Lage versetzt werden, die Verfügung sachgerecht anfechten zu können (BGE 124 II 149), weshalb die verfügende Behörde die Überlegungen nennen muss, von denen sie sich leiten liess und auf die sich ihr Entscheid stützt. Dabei darf sie sich auf die wesentlichen Gesichtspunkte beschränken und muss sich dementsprechend nicht mit allen tatbeständlichen Behauptungen und jedem rechtlichen Einwand auseinandersetzen (vgl. zum Ganzen ALFRED KÖLZ/ ISABELLE HÄNER, Verwaltungsverfahren und Verwaltungsrechtspflege des Bundes, 2. Aufl., Zürich 1998, S. 128).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KRK. Im vorliegenden Falle ist jedoch zu beachten, dass die Verfügung des BFM bereits weniger als einen Monat nach der Einreise der Beschwerdeführenden erging und eine Beeinträchtigung des Kindeswohls nicht ersichtlich ist (vgl. nachfolgend E. 7.5.2). Bei dieser Sachlage kann keine Verletzung der Begründungspflicht konstatiert werden. Den Beschwerdeführenden war es problemlos möglich, die Verfügung des BFM vom 28. Januar 2011 gestützt auf die darin enthaltenen Erwägungen zum Wegweisungsvollzug sachgerecht anzufechten. Ihr Einwand der Verletzung des rechtlichen Gehörs erweist sich daher als unbegründet.</w:t>
      </w:r>
    </w:p>
    <w:p>
      <w:r>
        <w:rPr>
          <w:b/>
        </w:rPr>
        <w:t>E. 7.4</w:t>
      </w:r>
    </w:p>
    <w:p>
      <w:r>
        <w:t>Die allgemeine Lage in Serbien lässt nicht auf eine konkrete Gefährdung der Beschwerdeführenden im Falle einer Rückkehr schliessen. Zwar werden Angehörige der Roma - wie erwähnt - beim Zugang zu Bildung, Arbeit, Wohnen und Gesundheit diskriminiert. Diese Benachteiligungen erreichen indessen nicht ein Ausmass, das den Vollzug der Wegweisung als allgemein unzumutbar erscheinen liesse (Urteil des Bundesverwaltungsgerichts D-915/2011 vom 16. Juni 2011 E. 8.4.1). Blosse soziale und wirtschaftliche Schwierigkeiten, von denen weite Teile der ansässigen Bevölkerung betroffen sind, genügen zudem nicht, um eine Gefährdung im Sinne von Art. 83 Abs. 4 AuG darzustellen (vgl. BVGE 2010/41 E. 8.3.6 mit weiteren Hinweisen).</w:t>
      </w:r>
    </w:p>
    <w:p>
      <w:r>
        <w:rPr>
          <w:b/>
        </w:rPr>
        <w:t>E. 7.5</w:t>
      </w:r>
    </w:p>
    <w:p>
      <w:r>
        <w:t>Nachfolgend zu prüfen ist jedoch die individuelle Zumutbarkeit eines Wegweisungsvollzuges nach Serbien:</w:t>
      </w:r>
    </w:p>
    <w:p>
      <w:r>
        <w:rPr>
          <w:b/>
        </w:rPr>
        <w:t>E. 7.5.1</w:t>
      </w:r>
    </w:p>
    <w:p>
      <w:r>
        <w:t>Der Beschwerdeführer lebte gemäss eigenen Angaben vor der Ausreise seit seiner Kindheit in J._______ (Gemeinde K._______; A5/13 S. 1), die Beschwerdeführerin seit etwa 16 Jahren (A4/12 S. 1). Er habe nie die Schule besucht, aber als Kind Lesen und Schreiben gelernt und zuletzt als Hilfsarbeiter bzw. Tagelöhner gearbeitet, während sie sieben Jahre lang die Schule besucht habe und seither nicht erwerbstätig gewesen sei, sondern als Hausfrau gearbeitet habe (A5/13 S. 2; A4/12 S. 2). Es ist davon auszugehen, dass der Beschwerdeführer nach einer Rückkehr in die Vojvodina wieder eine Stelle als Tagelöhner finden wird. Das Gericht verkennt nicht, dass die Arbeitsmarktlage in Serbien schwierig ist und es für den Beschwerdeführer nicht leicht sein wird, seine Familie zu versorgen, doch können die Beschwerdeführenden auf ein familiäres Beziehungsnetz in ihrer Heimat zurückgreifen. Dort leben gemäss den Ausführungen des Beschwerdeführers dessen Mutter (in J._______) sowie zwei Brüder (einer in Zabal und einer in J._______; A5/13 S. 4). Ausserdem leben der Zwillingsbruder der Beschwerdeführerin (in L._______, Gemeinde K._______), deren Mutter (in Pancevo, ca. 105 km von J._______ entfernt; gemäss Aussagen des Beschwerdeführers lebt sie in einem Blindenheim, vgl. A15/11 S. 5) und eine Schwester (in M._______, ca. 60 km von J._______ entfernt) in Serbien (A4/12 S. 3). Entgegen den Behauptungen auf Beschwerdeebene verfügen die Beschwerdeführenden damit über ein verwandtschaftliches Beziehungsnetz, das diese - wenn vielleicht nicht finanziell - beispielsweise bei der Kinderbetreuung, beim Finden einer Arbeitsstelle oder einer neuen Unterkunft unterstützen können dürfte. In diesem Zusammenhang ist auf die Möglichkeit der Beantragung von Rückkehrhilfe durch die Schweiz zu verweisen, die den Beschwerdeführenden den Wiedereinstieg in ihrer Heimat erleichtern könnte (Art. 93 Abs. 1 AsylG Art. 73 ff. der Asylverordnung 2 vom 11. August 1999 über Finanzierungsfragen [AsylV 2, SR 142.312]).</w:t>
      </w:r>
    </w:p>
    <w:p>
      <w:r>
        <w:rPr>
          <w:b/>
        </w:rPr>
        <w:t>E. 7.5.2</w:t>
      </w:r>
    </w:p>
    <w:p>
      <w:r>
        <w:t>Unter dem Aspekt des Kindeswohls sind im Hinblick auf eine Wegweisung schliesslich sämtliche Umstände einzubeziehen und zu würdigen, die in diesem Zusammenhang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2009/51 E. 5.6 mit weiteren Hinweisen). Diese Voraussetzungen sind im vorliegenden Fall indes nicht gegeben. Die drei jüngsten Kinder (die (....), (...) und (...) Jahre alt sind) sind noch vollständig an Eltern gebunden und waren in Serbien noch nicht eingeschult; aus den Akten ergibt sich auch keine Einschulung in der Schweiz. Aufgrund des bisherigen kurzen Aufenthalts in der Schweiz von knapp acht Monaten kann jedoch auch bei den vier älteren Kindern (im Alter von (...) Jahren) noch nicht von einer Entwurzelung in ihrer Heimat bzw. einer fortgeschrittenen Integration in der Schweiz ausgegangen werden. Es ist vielmehr anzunehmen, dass sie sich ohne grössere Probleme wieder in den serbischen Schulalltag - den sie seit mehreren Jahren gewohnt sind - werden einfügen können.</w:t>
      </w:r>
    </w:p>
    <w:p>
      <w:r>
        <w:rPr>
          <w:b/>
        </w:rPr>
        <w:t>E. 7.5.3</w:t>
      </w:r>
    </w:p>
    <w:p>
      <w:r>
        <w:t>In der Beschwerdeschrift vom 15. Februar 2011 wurde schliesslich ausgeführt, die Beschwerdeführerin sei krank und bedürfe nach den erlittenen Traumata der Unterstützung in der Betreuung der Kinder. Sie sei nur noch Haut und Knochen und befinde sich in ärztlicher Behandlung. Ein Arztbericht zu ihrem Gesundheitszustand werde nachgereicht. Die Beschwerdeführerin brachte erstmals anlässlich ihrer Anhörung vom 19. Januar 2011 vor, es gehe ihr schlecht, sie habe viel abgenommen und mache sich grosse Sorgen (A14/12 S. 9). Dass ihr Zustand bereits so besorgniserregend gewesen sein soll, wie es in der Beschwerdeschrift einen Monat später vorgebracht wird, ist aus den Protokollen damals jedoch nicht ersichtlich. Die Beschwerdeführenden haben den angekündigten Arztbericht bis zum heutigen Zeitpunkt nicht eingereicht. Auf die Einforderung eines solchen Berichts kann indessen verzichtet werden, da ohnehin davon auszugehen ist, dass die gesundheitliche Versorgung der Bevölkerung in Serbien grundsätzlich so ausgestaltet ist, dass eine allfällige psychiatrische bzw. psychologische Therapie vor Ort weitergeführt werden könnte und allenfalls benötigte Medikamente vor Ort erhältlich sind. Dabei kann nicht davon ausgegangen werden, dass ethnischen Roma die Gesundheitsversorgung grundsätzlich verweigert wird (vgl. das Urteil des Bundesverwaltungsgerichts D-7864/2006 vom 12. April 2010 E. 7.2.2).</w:t>
      </w:r>
    </w:p>
    <w:p>
      <w:r>
        <w:rPr>
          <w:b/>
        </w:rPr>
        <w:t>E. 7.5.4</w:t>
      </w:r>
    </w:p>
    <w:p>
      <w:r>
        <w:t>Der Vollzug der Wegweisung erweist sich nach dem Gesagten als zumutbar.</w:t>
      </w:r>
    </w:p>
    <w:p>
      <w:r>
        <w:rPr>
          <w:b/>
        </w:rPr>
        <w:t>E. 7.6</w:t>
      </w:r>
    </w:p>
    <w:p>
      <w:r>
        <w:t>Schliesslich obliegt es den Beschwerdeführenden, sich nötigenfalls bei der Vertretung des Heimatstaates die für eine Rückkehr notwendigen Reisedokumente zu beschaffen (Art. 8 Abs. 4 AsylG), weshalb der Vollzug der Wegweisung auch als möglich zu bezeichnen ist (Art. 83 Abs. 2 AuG).</w:t>
      </w:r>
    </w:p>
    <w:p>
      <w:r>
        <w:rPr>
          <w:b/>
        </w:rPr>
        <w:t>E. 7.7</w:t>
      </w:r>
    </w:p>
    <w:p>
      <w:r>
        <w:t>Zusammenfassend hat das BFM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9</w:t>
      </w:r>
    </w:p>
    <w:p>
      <w:r>
        <w:t>Bei diesem Ausgang des Verfahrens wären die Verfahrenskosten grundsätzlich den unterliegenden Beschwerdeführenden aufzuerlegen (Art. 63 Abs. 1 VwVG). Nachdem jedoch das Gesuch um Gewährung der unentgeltlichen Prozessführung mit Verfügung des Bundesverwaltungsgerichts vom 3. März 2011 gutgeheissen wurde und eine Änderung der finanziellen Lage der Beschwerdeführenden nicht ersichtlich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