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E-1093/2020 vom 4. März 2020</w:t>
      </w:r>
    </w:p>
    <w:p>
      <w:r>
        <w:t>Bundesverwaltungsgericht, 2020-03-04, DE</w:t>
      </w:r>
    </w:p>
    <w:p>
      <w:r>
        <w:rPr>
          <w:b/>
        </w:rPr>
        <w:t xml:space="preserve">Quelle: </w:t>
      </w:r>
      <w:r>
        <w:t>https://mcp.opencaselaw.ch/entscheid/bvger_E-1093_2020</w:t>
      </w:r>
    </w:p>
    <w:p>
      <w:r>
        <w:t>FR: TAF E-1093/2020 du 4 mars 2020</w:t>
      </w:r>
    </w:p>
    <w:p>
      <w:r>
        <w:t>IT: TAF E-1093/2020 del 4 marzo 2020</w:t>
      </w:r>
    </w:p>
    <w:p>
      <w:pPr>
        <w:pStyle w:val="Heading2"/>
      </w:pPr>
      <w:r>
        <w:t>Regeste</w:t>
      </w:r>
    </w:p>
    <w:p>
      <w:r>
        <w:t>Asyl und Wegweisung (verkürzte Beschwerdefrist)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gutgeheissen.</w:t>
      </w:r>
    </w:p>
    <w:p>
      <w:r>
        <w:rPr>
          <w:b/>
        </w:rPr>
        <w:t>E. 2</w:t>
      </w:r>
    </w:p>
    <w:p>
      <w:r>
        <w:t>Die angefochtene Verfügung wird aufgehoben und die Sache zur weiteren Sachverhaltsabklärung und zur Neubeurteilung im Sinne der Erwägungen an das SEM zurückgewiesen.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Es wird keine Parteientschädigung ausgerichtet.</w:t>
      </w:r>
    </w:p>
    <w:p>
      <w:r>
        <w:rPr>
          <w:b/>
        </w:rPr>
        <w:t>E. 5</w:t>
      </w:r>
    </w:p>
    <w:p>
      <w:r>
        <w:t>Dieses Urteil geht an den Beschwerdeführer, das SEM und die kantonale Migrationsbehörde. Der Einzelrichter: Der Gerichtsschreiber: Markus König Nicholas Swain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