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E-1087/2023 vom 1. März 2023</w:t>
      </w:r>
    </w:p>
    <w:p>
      <w:r>
        <w:t>Bundesverwaltungsgericht, 2023-03-01, DE</w:t>
      </w:r>
    </w:p>
    <w:p>
      <w:r>
        <w:rPr>
          <w:b/>
        </w:rPr>
        <w:t xml:space="preserve">Quelle: </w:t>
      </w:r>
      <w:r>
        <w:t>https://mcp.opencaselaw.ch/entscheid/bvger_E-1087_2023</w:t>
      </w:r>
    </w:p>
    <w:p>
      <w:r>
        <w:t>FR: TAF E-1087/2023 du 1 mars 2023</w:t>
      </w:r>
    </w:p>
    <w:p>
      <w:r>
        <w:t>IT: TAF E-1087/2023 del 1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Die Beschwerdeführenden rügen die Verletzung des Anspruchs auf rechtliches Gehör sowie die unvollständige und unrichtige Sachverhaltserstellung, indem die Vorinstanz die Dublin-Gespräche vom 22. Dezember 2022 trotz Abwesenheit der Rechtsvertretung durchgeführt habe. Diese formellen Rügen sind vorab zu beurteilen, da sie gegebenenfalls geeignet sind, eine Kassation der vorinstanzlichen Verfügung zu bewirken (vgl. BGE 138 I 232 E. 5).</w:t>
      </w:r>
    </w:p>
    <w:p>
      <w:r>
        <w:rPr>
          <w:b/>
        </w:rPr>
        <w:t>E. 4.2</w:t>
      </w:r>
    </w:p>
    <w:p>
      <w:r>
        <w:t>Die Beschwerdeführenden führen dazu in ihrer Beschwerde aus, das Bundesverwaltungsgericht habe die Abwesenheit der zugewiesenen Rechtsvertretung ohne ausführliche Information der Betroffenen und ohne deren ausdrücklichen Verzicht als gravierenden Verfahrensfehler bewertet. Sie zitieren insbesondere aus Urteilen des Bundesverwaltungsgerichts: «Aufgrund ihrer schwächeren Verfahrensposition kann ein Verzicht auf Rechtsvertretung jedoch erst dann rechtswirksam angenommen werden, wenn die Asylsuchenden vorgängig über die Konsequenzen eines Verzichts informiert wurden und ihnen allfällige Alternativen bekannt sind (vgl. beispielsweise Urteil des BVGer D-657/2021 vom 25. Februar 2021 E. 5.3.3 sowie E-2805/2020 vom 29. Juli 2020 E. 3.5). Unabdingbar ist denn auch, dass der Verzicht ausdrücklich erklärt wird (vgl. ebd. sowie Urteil des BVGer E-2805/2020 vom 29. Juli 2020 E. 3.5).». Einen solchen ausdrücklichen und «informierten» Verzicht hätten die Beschwerdeführenden zu keinem Zeitpunkt im Verfahren erklärt. Auch während des Gesprächs seien sie durch die Mitarbeiterin des SEM nicht über die Umstände der Abwesenheit ihrer Rechtsvertretung informiert oder darüber belehrt worden, dass sie ein Recht auf ihre Anwesenheit hätten. Es sei lediglich festgestellt worden, dass die Rechtsvertretung «aus Kapazitätsgründen» nicht anwesend sei. Damit sei offensichtlich, dass kein ausdrücklicher Verzicht der rechtsunkundigen Beschwerdeführenden erfolgt sei, sondern die Abwesenheit der Rechtsvertretung auf Gründen beruhe, die von der damaligen Rechtsvertretung zu verantworten seien.</w:t>
      </w:r>
    </w:p>
    <w:p>
      <w:r>
        <w:rPr>
          <w:b/>
        </w:rPr>
        <w:t>E. 4.3</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4.4</w:t>
      </w:r>
    </w:p>
    <w:p>
      <w:r>
        <w:t>Die Beschwerdeführenden wurden am 19. Dezember 2022 über die drei Tage später stattfindende Anhörung informiert. Art. 52c Abs. 2 der Asylverordnung 1 vom 11. August 1999 (AsylV 1, SR 142.311) sieht unter anderem für die Gewährung des rechtlichen Gehörs im Rahmen des Dublin-Verfahrens in den Zentren des Bundes einen Mindestvorlauf von zwei Arbeitstagen für die Mitteilung des Termins vor. Der Anhörungstermin wurde den Beschwerdeführenden respektive dem Leistungserbringer somit rechtzeitig mitgeteilt. Aus den Protokollen über die Dublin-Gespräche ergibt sich weiter, dass die befragende Person vor Beginn der Anhörung von der kapazitätsbedingten Abwesenheit der Rechtsvertretung der Beschwerdeführerenden erfahren hat.</w:t>
      </w:r>
    </w:p>
    <w:p>
      <w:r>
        <w:rPr>
          <w:b/>
        </w:rPr>
        <w:t>E. 4.5</w:t>
      </w:r>
    </w:p>
    <w:p>
      <w:r>
        <w:t>Asylsuchende können für das gesamte Asylverfahren auf die Mandatierung einer Rechtsvertretung verzichten (Art. 102h Abs. 1 AsylG). Daraus folgt - a maiore ad minus -, dass es für Asylsuchende möglich sein muss, auch bloss für einzelne Verfahrenshandlungen auf die Rechtsvertretung respektive deren Teilnahme an Verfahrenshandlungen ausdrücklich zu verzichten. Aufgrund ihrer schwächeren Verfahrensposition kann ein Verzicht auf Rechtsvertretung jedoch erst dann rechtswirksam angenommen werden, wenn die Asylsuchenden vorgängig über die Konsequenzen eines Verzichts informiert wurden und ihnen allfällige Alternativen bekannt sind. Mithin müssen sie sich der Tragweite eines Verzichts bewusst sein (vgl. Urteil des BVGer D-5625/2022 vom 14. Dezember 2022 E. 4.5.3 m.w.H.).</w:t>
      </w:r>
    </w:p>
    <w:p>
      <w:r>
        <w:rPr>
          <w:b/>
        </w:rPr>
        <w:t>E. 4.6</w:t>
      </w:r>
    </w:p>
    <w:p>
      <w:r>
        <w:t>Im vorliegenden Fall informierte das SEM die Beschwerdeführenden eingangs der Anhörung über die Abwesenheit ihrer Rechtsvertretung aus Kapazitätsgründen und wies sie darauf hin, dass mit ihrem Einverständnis die Anhörung trotzdem durchgeführt werden könne. Es führte weiter aus, dass eine Kopie des Gesprächsprotokolls der Rechtsvertretung direkt im Anschluss an das Gespräch zugestellt werde. Zudem bleibe die Rechtsvertretung für das weitere Verfahren zuständig und die Beschwerdeführenden könnten sich mit rechtlichen Belangen jederzeit an sie wenden. Die Beschwerdeführenden bekräftigten, sie seien damit einverstanden, das Gespräch ohne Rechtsvertretung durchzuführen (vgl. SEM-act. 27 und 30). Ferner besteht aufgrund der vorliegenden Ausgangslage kein Grund zur Annahme, die Beschwerdeführenden seien sich der Tragweite dieser Frage nicht bewusst gewesen beziehungsweise ihnen wäre in diesem Moment nicht gewahr gewesen, dass sie die entsprechende Frage auch hätten verneinen können. Insgesamt ist davon auszugehen, dass die Tragweite dieser Frage und des ausgesprochenen Verzichts auf die Anwesenheit der Rechtsvertretung für die Beschwerdeführenden erkennbar war, zumal sie bereits seit dem 10. November 2022 (vgl. SEM-act. 22 ff.) vertreten waren und somit davon auszugehen ist, dass sie über ihre Rechte und Pflichten im Asylverfahren und die einzelnen Verfahrensschritte bereits unterrichtet wurden. Demnach war es ihnen möglich, rechtswirksam auf die Anwesenheit seines Rechtsvertreters an der Anhörung zu verzichten.</w:t>
      </w:r>
    </w:p>
    <w:p>
      <w:r>
        <w:rPr>
          <w:b/>
        </w:rPr>
        <w:t>E. 4.7</w:t>
      </w:r>
    </w:p>
    <w:p>
      <w:r>
        <w:t>Die Vorinstanz hat den Sachverhalt demnach korrekt und vollständig festgestellt. Eine Verletzung des rechtlichen Gehörs liegt nicht vor. Das Hauptbegehren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Ein Abgleich der Fingerabdrücke der Beschwerdeführerenden mit der Fingerabdruck-Datenbank ergab, dass diese am 18. Oktober 2022 in Kroatien ein Asylgesuch gestellt hatten. Das SEM ersuchte deshalb die kroatischen Behörden um Wiederaufnahme der Beschwerdeführenden. Nachdem diese dem Gesuch um Rückübernahme innert der in Art. 25 Abs. 1 Dublin-III-VO festgelegten Frist zugestimmt haben, ist die Zuständigkeit Kroatiens zur Durchführung des Asylverfahrens grundsätzlich gegeben. Daran ändert auch der Umstand nichts, dass die Zustimmung gestützt auf die Bestimmung von Art. 20 Abs. 5 Dublin-III-VO erfolgte (vgl. hierzu etwa die Urteile BVGer E-4341/2022 vom 8. Dezember 2022 E. 4.3, D-5623/2022 vom 12. Dezember 2022 E. 5 oder F-5543/2022 vom 7. Dezember 2022 E. 3.4).</w:t>
      </w:r>
    </w:p>
    <w:p>
      <w:r>
        <w:rPr>
          <w:b/>
        </w:rPr>
        <w:t>E. 7.1</w:t>
      </w:r>
    </w:p>
    <w:p>
      <w:r>
        <w:t>Eine Anwendung von Art. 3 Abs. 2 Dublin-III-VO ist vorliegend nicht gerechtfertigt, da es keine wesentlichen Gründe für die Annahme gibt, das Asylverfahren und die Aufnahmebedingungen für Asylsuchende in Kroatien würden systemische Schwachstellen aufweisen, die eine Gefahr einer unmenschlichen oder entwürdigenden Behandlung im Sinn von Art. 4 der EU-Grundrechtecharta mit sich bringen würden. Dies aus den folgenden Gründen: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 von Art. 3 Abs. 2 Sätze 2 und 3 Dublin-III-VO aufweisen (vgl. dazu die oben zitierten Urteile BVGer E-4341/2022 E. 6.3, D-5623/2022 E. 6.1 und F-5543/2022 E. 4).</w:t>
      </w:r>
    </w:p>
    <w:p>
      <w:r>
        <w:rPr>
          <w:b/>
        </w:rPr>
        <w:t>E. 7.3</w:t>
      </w:r>
    </w:p>
    <w:p>
      <w:r>
        <w:t>Auch unter Berücksichtigung der von den Beschwerdeführenden anlässlich der Dublin-Gespräche vom 22. Dezember 2022 und in der Beschwerdeschrift geschilderten Erlebnisse ist nicht davon auszugehen, Kroatien verstosse systematisch gegen seine vertraglichen Verpflichtungen. Die von den Beschwerdeführenden für die Zeit ihres Aufenthaltes in Kroatien geltend gemachte schlechte Behandlung rechtfertigt es nicht, davon auszugehen, dass sie bei einer Rückkehr mit hoher Wahrscheinlichkeit Opfer einer unmenschlichen oder erniedrigenden Behandlung im Sinn von Art. 3 EMRK, Art. 3 FoK oder Art. 4 EU-Grundrechtecharta werden. Bei allfälligem Fehlverhalten einzelner Beamter könnten sie sich zudem an die zuständigen kroatischen Stellen wenden. Es ist auch nicht davon auszugehen, dass sie bei einer Wegweisung nach Kroatien in eine existenzielle Notlage geraten könnten.</w:t>
      </w:r>
    </w:p>
    <w:p>
      <w:r>
        <w:rPr>
          <w:b/>
        </w:rPr>
        <w:t>E. 7.4</w:t>
      </w:r>
    </w:p>
    <w:p>
      <w:r>
        <w:t>In der Beschwerde werden des Weiteren die sogenannten Push-backs thematisiert. Wegen dieser Ereignisse sieht sich Kroatien schon seit geraumer Zeit mit Vorwürfen konfrontiert. Wie in der angefochtenen Verfügung ausführlich und zutreffend festgestellt wird (vgl. dort S. 5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würden die Beschwerdeführenden auf legalem Weg in die Hauptstadt Zagreb überstellt (vgl. SEM-act. 38 f.).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 des BVGer E-5787/2022 vom 19. Dezember 2022 E. 7.4 m.w.H.).</w:t>
      </w:r>
    </w:p>
    <w:p>
      <w:r>
        <w:rPr>
          <w:b/>
        </w:rPr>
        <w:t>E. 8.1</w:t>
      </w:r>
    </w:p>
    <w:p>
      <w:r>
        <w:t>Vorliegend gebietet sich auch kein Selbsteintritt nach Art. 17 Abs. 1 erster Satz Dublin-III-VO beziehungsweise Art. 29a Abs. 3 AsylV 1.</w:t>
      </w:r>
    </w:p>
    <w:p>
      <w:r>
        <w:rPr>
          <w:b/>
        </w:rPr>
        <w:t>E. 8.2</w:t>
      </w:r>
    </w:p>
    <w:p>
      <w:r>
        <w:t>Die Beschwerdeführenden vermögen nicht darzutun, dass die ihnen bei einer Rückführung nach Kroatien zu erwartenden Bedingungen derart schlecht sind, dass sie zu einer Verletzung von Art. 3 EMRK führen könnten. Bei einer allfälligen vorübergehenden Einschränkung der ihnen zustehenden Aufnahmebedingungen könnten sie sich nötigenfalls an die kroatischen Behörden wenden und ihre Rechte auf dem Rechtsweg einfordern (vgl. Art. 26 Aufnahmerichtlinie). Dies gilt auch in Bezug auf die geltend gemachte Gewalt seitens der kroatischen Behörden.</w:t>
      </w:r>
    </w:p>
    <w:p>
      <w:r>
        <w:rPr>
          <w:b/>
        </w:rPr>
        <w:t>E. 8.3</w:t>
      </w:r>
    </w:p>
    <w:p>
      <w:r>
        <w:t>Hinsichtlich der gerügten Verletzung von Art. 2 und Art. 3 des Übereinkommens zur Beseitigung jeder Form von Diskriminierung der Frau vom 18. Dezember 1979 (CEDAW, SR 0.108) ist festzuhalten, dass die Normen des Übereinkommens zwar für die völkerrechtskonforme Auslegung des innerstaatlichen Rechts von Bedeutung sind (vgl. BGE 137 I 305 E. 3.2), sich in erster Linie (mit gewissen Ausnahmen) aber an die gesetzgeberischen, politischen und gesellschaftlichen Institutionen der Mitgliedstaaten richtet. Demnach hat sich mit diesem Vorbringen nicht das Gericht, sondern primär die Legislative, die Politik und die Gesellschaft auseinanderzusetzen (vgl. statt vieler die Urteile des BVGer F-650/2023 vom 8. Februar 2023 E. 7.3, D-4360/2022 vom 17. Oktober 2022 E. 7.2.3, F-4002/2022 vom 26. September 2022 E. 8.4 und E-1325/2022 vom 31. März 2022 E. 4.3). Die Beschwerdeführerin kann im vorliegenden Fall demnach aus dem CEDAW nichts zu ihren Gunsten ableiten. Darüber hinaus hat sie nicht ausreichend dargetan, inwiefern ihre Überstellung nach Kroatien diese Konvention verletzen würde.</w:t>
      </w:r>
    </w:p>
    <w:p>
      <w:r>
        <w:rPr>
          <w:b/>
        </w:rPr>
        <w:t>E. 8.4</w:t>
      </w:r>
    </w:p>
    <w:p>
      <w:r>
        <w:t>Der Beschwerdeführer leide gemäss den eingereichten medizinischen Berichten an (...). Im Befund des E._______ wird zudem festgehalten, er habe (...) ([...] vgl. Bst. A.h. supra). Die Beschwerdeführerin leide gemäss den eingereichten Berichten (...) (vgl. Bst. A.e. und A.i. supra). Die Tochter leide an (...) (vgl. Bst. A.d. supra). Diese gesundheitlichen Beeinträchtigungen sind offensichtlich nicht von derartiger Schwere, dass sie die Feststellung der Unzulässigkeit im Sinne der restriktiven Rechtsprechung zu rechtfertigen vermöchten. Sollten die Beschwerdeführenden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keine Hinweise vor, wonach Kroatien den Beschwerdeführenden eine allenfalls erforderliche adäquate medizinische Behandlung verweigern würde. Es liegen mithin keine Gründe für einen zwingenden Selbsteintritt der Schweiz vor.</w:t>
      </w:r>
    </w:p>
    <w:p>
      <w:r>
        <w:rPr>
          <w:b/>
        </w:rPr>
        <w:t>E. 8.5</w:t>
      </w:r>
    </w:p>
    <w:p>
      <w:r>
        <w:t>Im Zusammenhang mit den Rügen bezüglich der Beachtung des Kindeswohls ist festzuhalten, dass auch Kroatien Signatarstaat des Übereinkommens vom 20. November 1989 über die Rechte des Kindes (Kinderrechtskonvention, SR 0.107; nachfolgend: KRK) ist und seinen daraus erwachsenen Verpflichtungen grundsätzlich nachkommt, weshalb eine Überstellung nach Kroatien weder eine Verletzung von Art. 3 KRK noch von Art. 3 EMRK bedeutet. Die Tochter der Beschwerdeführenden ist denn auch erst knapp (...)-jährig und weist aufgrund ihres jungen Alters eine enge Beziehung zu ihren Eltern als Hauptbezugspersonen auf. Aus der KRK kann zudem kein Anspruch auf Aufenthalt im Staat mit den für ein Kind vorteilhaftesten Lebensbedingungen abgeleitet werden. Vor der Überstellung nach Kroatien kann den kroatischen Behörden mitgeteilt werden, dass eine kindsgerechte Unterbringung nötig ist. Gemäss Aktenlage bestehen auch keine Hinweise auf unverzüglich behandlungsbedürftige, schwere gesundheitliche Probleme des Kindes, sodass ein Vollzug der Überstellung nicht gegen das Kindeswohl spricht (vgl. E. 8.4).</w:t>
      </w:r>
    </w:p>
    <w:p>
      <w:r>
        <w:rPr>
          <w:b/>
        </w:rPr>
        <w:t>E. 8.6</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Subeventualantrag ist abzuweisen. Die schweizerischen Behörden, die mit dem Vollzug der angefochtenen Verfügung beauftragt sind, werden dem aktuellen Gesundheitszustand der Beschwerdeführenden und ihrer Tochter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w:t>
      </w:r>
    </w:p>
    <w:p>
      <w:r>
        <w:rPr>
          <w:b/>
        </w:rPr>
        <w:t>E. 8.7</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8.8</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die Beschwerdeführenden wiederaufzunehmen.</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11.1</w:t>
      </w:r>
    </w:p>
    <w:p>
      <w:r>
        <w:t>Mit vorliegendem Urteil ist das Beschwerdeverfahren abgeschlossen. Die Anträge auf Erteilung der aufschiebenden Wirkung, auf superprovisorische Aussetzung des Wegweisungsvollzugs und auf Befreiung von der Kostenvorschusspflicht erweisen sich somit als gegenstandslos.</w:t>
      </w:r>
    </w:p>
    <w:p>
      <w:r>
        <w:rPr>
          <w:b/>
        </w:rPr>
        <w:t>E. 11.2</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11.3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