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E-1086/2010 vom 3. März 2010</w:t>
      </w:r>
    </w:p>
    <w:p>
      <w:r>
        <w:t>Bundesverwaltungsgericht, 2010-03-03, FR</w:t>
      </w:r>
    </w:p>
    <w:p>
      <w:r>
        <w:rPr>
          <w:b/>
        </w:rPr>
        <w:t xml:space="preserve">Quelle: </w:t>
      </w:r>
      <w:r>
        <w:t>https://mcp.opencaselaw.ch/entscheid/bvger_E-1086_2010</w:t>
      </w:r>
    </w:p>
    <w:p>
      <w:r>
        <w:t>FR: TAF E-1086/2010 du 3 mars 2010</w:t>
      </w:r>
    </w:p>
    <w:p>
      <w:r>
        <w:t>IT: TAF E-1086/2010 del 3 marzo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recourants ont qualité pour recourir. Présenté dans la forme et les délais prescrits par la loi, le recours est recevable (art. 48, 52 PA et 108 al. 2 LAsi).</w:t>
      </w:r>
    </w:p>
    <w:p>
      <w:r>
        <w:rPr>
          <w:b/>
        </w:rPr>
        <w:t>E. 2</w:t>
      </w:r>
    </w:p>
    <w:p>
      <w:r>
        <w:t>Les recourants n'ont pas recouru contre la décision de l'ODM en tant qu'elle n'entre pas en matière sur leur demande d'asile, de sorte que, sous cet angle, elle a acquis force de chose décidée.</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4.4</w:t>
      </w:r>
    </w:p>
    <w:p>
      <w:r>
        <w:t>En l'occurrence, le Tribunal administratif fédéral relève que les intéressés n'ont pas été en mesure de rendre vraisemblable un risque de cette nature. En effet, les dangers qu'ils disent courir ne sont pas étayés, ne revêtent pas une crédibilité suffisante, et demeurent en réalité de simples hypothèses. En effet, des tensions politiques et ethniques sont apparues dans la période récente et ont été instrumentalisées par les dirigeants des deux entités bosniaques, mais n'ont pas provoqué de remous particuliers parmi la population (cf. à ce sujet Conseil de l'Europe, The functioning of democratic institutions in Bosnia and Herzegovina, janvier 2010). L'agitation à base ethnique, si elle peut occasion-nellement devenir plus aiguë dans certaines régions, n'a cependant pas entraîné des troubles d'ampleur significative, et les intéressés n'en ont d'ailleurs pas été touchés de manière notable ; la décision du Conseil fédéral du 1er août 2003, qui classait la Bosnie et Herzégovine parmi les Etats exempts de persécution (cf. art. 6a al. 2 LAsi), est toujours d'actualité, d'ailleurs. A ce sujet, il faut encore relever qu'il est loisible aux intéressés, officiellement inscrits comme habitants de I._______, de s'installer après leur retour dans cette localité, située en Fédération croato-musulmane, ou dans la région, où ils se trouveront à l'abri d'éventuelles atteintes motivées par des raisons ethniques.</w:t>
      </w:r>
    </w:p>
    <w:p>
      <w:r>
        <w:rPr>
          <w:b/>
        </w:rPr>
        <w:t>E. 4.5</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Comme déjà indiqué plus haut, la Bosnie et Herzégovine, Etat présumé sûr,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En outre, il ne ressort du dossier aucun élément dont on pourrait inférer que l'exécution du renvoi impliquerait une mise en danger concrète des recourants. En effet, ces derniers sont jeunes, au bénéfice d'une expérience professionnelle et n'ont pas allégué de problème de santé particulier, et plusieurs de leurs proches résident tant en République serbe qu'en Fédération croato-musulmane. Les risques qu'ils font valoir, soit de se retrouver dans le dénuement, soit de connaître des difficultés à se soigner ou à scolariser leurs enfants, sont en l'état purement hypothétiques et ne peuvent donc être pris en considération ; dans tous les cas, la situation des intéressés après leur retour ne sera pas plus grave que celle qu'ils connaissaient avant leur départ, ou que celle de la majorité de leurs concitoyens.</w:t>
      </w:r>
    </w:p>
    <w:p>
      <w:r>
        <w:rPr>
          <w:b/>
        </w:rPr>
        <w:t>E. 5.4</w:t>
      </w:r>
    </w:p>
    <w:p>
      <w:r>
        <w:t>Pour ces motifs, l'exécution du renvoi doit être considérée comme raisonnablement exigible.</w:t>
      </w:r>
    </w:p>
    <w:p>
      <w:r>
        <w:rPr>
          <w:b/>
        </w:rPr>
        <w:t>E. 6</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 et le recours rejeté. En conséquence, la requête tendant aux mesures provisionnelles est sans objet.</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9.1</w:t>
      </w:r>
    </w:p>
    <w:p>
      <w:r>
        <w:t>Dans la mesure où les conclusions du recours étaient d'emblée vouées à l'échec, la requête d'assistance judiciaire partielle doit être rejetée (art. 65 al. 1 PA).</w:t>
      </w:r>
    </w:p>
    <w:p>
      <w:r>
        <w:rPr>
          <w:b/>
        </w:rPr>
        <w:t>E. 9.2</w:t>
      </w:r>
    </w:p>
    <w:p>
      <w:r>
        <w:t>Au vu de l'issue de la cause, il y a donc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