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E-1075/2011 vom 1. März 2012</w:t>
      </w:r>
    </w:p>
    <w:p>
      <w:r>
        <w:t>Bundesverwaltungsgericht, 2012-03-01, FR</w:t>
      </w:r>
    </w:p>
    <w:p>
      <w:r>
        <w:rPr>
          <w:b/>
        </w:rPr>
        <w:t xml:space="preserve">Quelle: </w:t>
      </w:r>
      <w:r>
        <w:t>https://mcp.opencaselaw.ch/entscheid/bvger_E-1075_2011</w:t>
      </w:r>
    </w:p>
    <w:p>
      <w:r>
        <w:t>FR: TAF E-1075/2011 du 1 mars 2012</w:t>
      </w:r>
    </w:p>
    <w:p>
      <w:r>
        <w:t>IT: TAF E-1075/2011 del 1 marzo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ne s'est pas explicitement prononcé sur la vraisemblance des faits invoqués par le recourant. Il a, en effet, considéré que, pour autant qu'il fussent avérés, ceux-ci n'étaient pas pertinents pour la reconnaissance de sa qualité de réfugié. Cela dit, force est de reconnaître avec l'ODM que le recourant, qui aurait adhéré au DTP, ne prétend pas y avoir exercé une fonction particulière, mais simplement avoir eu des activités en faveur dudit parti, notamment avoir distribué des journaux ou autres publications. Certes, le recourant a déclaré avoir été placé trois fois en garde à vue, tout au plus pendant un jour, parce qu'il aurait refusé de devenir un informateur. Il ne prétend cependant pas avoir subi de sérieux préjudices avant son départ de Turquie. En revanche, il allègue avoir quitté son pays en raison des pressions que lui-même et sa famille subissaient et dit sa crainte d'être exposé à de graves persécutions en cas de renvoi en Turquie.</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et la jurisprudence citée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3.3</w:t>
      </w:r>
    </w:p>
    <w:p>
      <w:r>
        <w:t>S'agissant des activités du recourant en lien avec le DTP, le Tribunal observe ce qui suit:</w:t>
      </w:r>
    </w:p>
    <w:p>
      <w:r>
        <w:rPr>
          <w:b/>
        </w:rPr>
        <w:t>E. 3.3.1</w:t>
      </w:r>
    </w:p>
    <w:p>
      <w:r>
        <w:t>Dans son mémoire, le recourant laisse entendre qu'il est membre d'une organisation illégale. De fait, quand le recourant a quitté son pays, le DTP n'était pas interdit, il ne l'a été qu'ultérieurement. Cela dit, le seul fait que l'existence d'un parti soit légale ne suffit pas à exclure toute répression à l'égard des membres dudit parti. Le 9 novembre 2005, des membres du DEHAP (Demokratik Halk Partisi ; Parti démocratique du peuple), le parti qui avait succédé au HADEP ont lancé par anticipation, en fusionnant avec le DTH (Demokratik Toplum Hareketi ; Mouvement pour une société démocratique), le DTP (Demokratik Toplum Partisi ; Parti de la société démocratique) par crainte d'une interdiction du DEHAP. Pratiquement tous les leaders et les membres du DEHAP se sont alors joints au DTP et le DEHAP a été dissous officiellement en décembre 2005. Il y a indiscutablement une continuité entre les partis pro-kurdes successivement créés (HADEP, DEHAP, DTP). La plupart des dirigeants, membres et sympathisants du DTP proviennent du HADEP, respectivement du DEHAP (cf notamment Commission de l'immigration et du statut de réfugié du Canada, Turquie: information sur la situation et le traitement réservé aux membres, aux partisans et aux sympathisants de la société démocratique (DTP) [2006-2007], 7 juin 2007). Au moment du départ du recourant, le DTP devait faire face à une recrudescence des critiques émanant des autorités turques, portant notamment sur le fait qu'il n'avait pas dénoncé les actions violentes du PKK. En novembre 2007, le procureur de la Cour de cassation avait d'ailleurs réclamé l'interdiction du parti au motif que, par ses liens supposés avec les séparatistes du PKK, il était un "foyer d'activités préjudiciables à l'indépendance et à l'intégrité de l'Etat". Le DTP, qui détenait 20 des 550 sièges du Parlement avait rejeté ces accusations, mais refusé de se distancer explicitement de l'utilisation de méthodes terroristes par le PKK.</w:t>
      </w:r>
    </w:p>
    <w:p>
      <w:r>
        <w:rPr>
          <w:b/>
        </w:rPr>
        <w:t>E. 3.3.2</w:t>
      </w:r>
    </w:p>
    <w:p>
      <w:r>
        <w:t>Les modifications de la loi sur les partis politiques introduites dans le cadre des réformes adoptées en vue de l'adhésion à l'Union européenne ont rendu plus difficile l'interdiction d'un parti, laquelle nécessite une majorité qualifiée de sept sur onze juges de la Cour constitutionnelle. Dans les faits, plus la situation politique est tendue, plus les actions du PKK sont violentes ou son attitude radicale, plus les critiques des autorités ou de l'opinion publique à l'égard des partis autonomistes kurdes sont sérieuses et plus la surveillance et la répression à l'égard des leaders et des membres de ces partis seront accentuées. Avant la dissolution du DTP, le 12 décembre 2009, les défenseurs des droits de l'homme, médias ou autres observateurs politiques ont ainsi rapporté de nombreuses arrestations et condamnations, ainsi que d'autres mesures de harcèlement envers des membres du DTP (cf. notamment, US State Department, Turkey: Country Report on Human Rights Pratices, 11 mars 2008; UK Home Office, Turkey: Country of Origin Information Report, 29 août 2008; Helmut Oberdiek, Organisation suisse d'aide aux réfugiés, OSAR: Türkei, Update: Aktuelle Entwicklung, Bern, novembre 2008 ; Com-mission de l'immigration et du statut de réfugié du Canada, op. cit.). De fait, les personnes visées sont souvent des dirigeants des partis autonomistes kurdes, des politiciens ou encore des élus, comme les maires de village, issus de leurs rangs, qui font l'objet de poursuites judiciaires en particulier en raison de leurs déclarations publiques sur des objets sensibles (comme le fait de désigner Abdullah Öcalan par le terme Sayin, qui signifie "estimé" ou "honorable") ou de leurs actions, considérées comme un soutien au PKK, voire une propagande séparatiste. Les poursuites judiciaires ont souvent lieu sur la base de l'art. 301 du code pénal, qui punit d'emprisonnement toute personne dénigrant l'identité (aujourd'hui, la nation) turque ou encore de l'art. 7 de la loi anti-terrorisme. La modification de l'art. 301 du code pénal turc, adoptée en 2007 dans le cadre des réformes législatives en vue d'une adhésion à l'UE, pourrait diminuer le nombre d'accusations sur la base de cette disposition, dès lors qu'elle nécessite désormais l'approbation du Ministre de la Justice et que son contenu a été modifié. Il faut cependant relever, en parallèle, des modifications législatives qui ont amené un certain durcissement de la loi anti-terrorisme comme de la loi sur les droits et devoirs de la police (cf. Helmut Oberdiek, OSAR, Turquie, mise à jour, octobre 2007). Cela dit, même si de nombreuses poursuites n'aboutissent pas faute de preuve, l'existence, quand le DTP était encore en activité, d'une certaine forme de harcèlement à l'égard de ses membres, sous forme de perquisitions des bureaux du parti, de menaces verbales, de détentions arbitraires suite à des rassemblements politiques ou à des contrôles d'identité doit être reconnue. La répression pouvait également toucher, en particulier, les membres des organisations de jeunesse, parce qu'ils étaient considérés comme des recrues potentielles du PKK ou soupçonnés de faire une certaine propagande pour ce mouvement (cf. en particulier Helmut Oberdiek, OSAR, Turquie, mise à jour -- octobre 2007, précité). Il faut observer que, même s'il se défendait de liens avec le PKK, le DTP, comme les partis qui l'avaient précédé, trouvait ses sympathisants dans les mêmes souches de population que le PKK (cf. UK Home Office op. cit.).</w:t>
      </w:r>
    </w:p>
    <w:p>
      <w:r>
        <w:rPr>
          <w:b/>
        </w:rPr>
        <w:t>E. 3.3.3</w:t>
      </w:r>
    </w:p>
    <w:p>
      <w:r>
        <w:t>Au vu de ce qui précède, il est par conséquent impératif, dans chaque cas d'espèce, d'examiner les liens particuliers de la personne concernée avec le parti, les activités personnelles qu'elle a pu déployer pour le compte de celui-ci, les propos publics qu'elle a pu tenir, les fréquentations qu'elle a pu avoir, afin d'apprécier si elle a pu se rendre particulièrement suspecte, voire indésirable aux yeux des autorités et encore si d'autres antécédents, chez elle, voire chez d'autres membres de sa famille, pourraient objectivement fonder une crainte de sérieux préjudices, déterminants au regard de la loi sur l'asile.</w:t>
      </w:r>
    </w:p>
    <w:p>
      <w:r>
        <w:rPr>
          <w:b/>
        </w:rPr>
        <w:t>E. 3.4</w:t>
      </w:r>
    </w:p>
    <w:p>
      <w:r>
        <w:t>En l'occurrence, il sied de constater qu'au moment où il a quitté son pays, le recourant n'aurait été membre du DTP que depuis cinq mois. De plus, il a souligné n'avoir eu aucune fonction spécifique dans le cadre de ce parti ; il a ainsi déclaré s'être limité à distribuer des journaux ou autres publications du DTP. Le Tribunal considère par conséquent que le recourant ne présentait pas, de prime abord, un profil politiquement marquant, à même d'attirer spécialement l'attention des autorités sur sa personne au vu de ses actes. Cette appréciation se voit d'ailleurs confirmée par le fait qu'après chacune des interpellations dont il prétend avoir été l'objet pour ses refus répétés de coopérer avec les autorités de police qui auraient voulu en faire un indicateur, ces dernières n'auraient rien eu à lui reprocher et l'auraient relâché après quelques heures au poste, voire, au pire, au terme d'une journée de rétention. Il y a lieu de préciser ici que les contrôles d'identité, les interpellations et autres interventions policières à caractère vexatoire, dont le recourant lui-même et d'autres membres de sa famille à D._______ auraient fait l'objet, ne représentent pas des atteintes à la liberté d'une intensité suffisante pour constituer un sérieux préjudice au sens de l'art. 3 LAsi (cf. JICRA 1994 n°17 p. 134 consid. 3a). Toutefois, une succession de discriminations, qui, prises isolément, ne présenteraient pas le degré d'intensité requis par l'art. 3 LAsi, peut être assimilée à une persécution selon cette disposition lorsque la pression à laquelle aboutissent ces discriminations devient psychiquement insupportable pour ceux qui en sont victimes. Dans ce cas, il faut encore que le requérant d'asile ait été empêché de mener une vie conforme à la dignité humaine, notamment parce qu'il aurait été privé de tous ces moyens d'existence (cf. JICRA 1993 n° 10, consid. 5e, p. 65; W. Kälin, op. cit., p. 49 ss; S. Werenfels, op. cit., p. 269 ss, spéc. p. 275). Or, dans le cas d'espèce, le recourant n'a pas rendu vraisemblable cette situation. Il a certes prétendu avoir subi cinq licenciements à cause des autorités qui auraient découragé ses patrons de le garder. Toutefois, interrogé sur ceux qui auraient été ses employeurs de 2006 à 2008, il n'a pas été à même de donner leur identité à l'exception d'un seul. Au vu de ce qui précède, le Tribunal juge que l'intéressé n'a pas réussi à rendre vraisemblable qu'il aurait été exposé à de sérieux préjudices au sens de l'art. 3 LAsi dans son pays d'origine en raison de son profil politique ou de ses prétendues activités pour le DTP. Il convient cependant encore d'examiner si celui-ci peut valablement se prévaloir d'un risque de persécution en raison de l'engagement de son père au HADEP et de la présence en Suisse de ses deux frères. (cf. JICRA 2005 no 21 consid. 10.2.3 p. 199s. ; JICRA 1994 no 5 p. 39ss et no 17, p. 132ss ; JICRA 1993 no 6 consid. 3b et 4 p. 37)</w:t>
      </w:r>
    </w:p>
    <w:p>
      <w:r>
        <w:rPr>
          <w:b/>
        </w:rPr>
        <w:t>E. 3.5</w:t>
      </w:r>
    </w:p>
    <w:p>
      <w:r>
        <w:t>En dépit des réformes législatives intervenues en Turquie dans l'optique d'une adhésion à l'Union européenne, tout risque de persécution réfléchie contre des membres de la famille d'activistes présumés du PKK (ou des organisations qui lui ont succédé, d'autres organisations séparatistes kurdes ou encore de mouvements considérés comme tels) ne peut être exclu dans ce pays. On note cependant une baisse du nombre des cas de persécution réfléchie, celle-ci intervenant de manière moins systématique que par le passé, et une certaine réduction de la gravité des mesures prises, en particulier une diminution des cas de torture ou de mauvais traitements. Dans ce contexte, il y a lieu d'apprécier l'intensité du risque de persécution réfléchie en fonction des circonstances du cas d'espèce. A cet égard, il y a lieu de prendre en compte également que ces mesures n'ont pas nécessairement pour but l'obtention de renseignements (par exemple sur le lieu de séjour d'un activiste), mais qu'elles peuvent également viser des personnes qui s'engagent ouvertement en faveur de leurs proches, par exemple dans le cadre d'une procédure ou en tant que membres d'organisations de défense de prisonniers, ou encore être prises en guise de représailles, pour punir tous les membres d'une même famille pour les agissements de l'un d'entre eux, soit parce qu'ils sont soupçonnés de partager ses opinions et ses buts, soit pour les intimider et les engager à garder des distances avec les organisations kurdes (cf. JICRA 2005 n° 21 p. 184ss consid. 10.2.3). Sur la base des informations dont il dispose, le Tribunal n'a pas de raison, actuellement, de considérer cette jurisprudence comme obsolète. II souligne toutefois qu'il s'agit, dans chaque cas d'espèce, d'apprécier le risque de persécution réfléchie en fonction des éléments concrets qui pourraient fonder objectivement une crainte plus spécifique d'agissements des autorités à l'encontre des membres de la famille.</w:t>
      </w:r>
    </w:p>
    <w:p>
      <w:r>
        <w:rPr>
          <w:b/>
        </w:rPr>
        <w:t>E. 3.6</w:t>
      </w:r>
    </w:p>
    <w:p>
      <w:r>
        <w:t>Dans le présent cas, il y a d'abord lieu de relever que l'intéressé était âgé de six ans lorsque son père a quitté la Turquie il y a plus de 15 ans. Vu le temps écoulé, celui-ci n'y a vraisemblablement plus aujourd'hui une influence politique particulière. Cette appréciation est d'ailleurs confirmée par le fait qu'interrogé sur les activités passées de son père au HADEP et sur son engagement politique actuel, le recourant n'a rien su en dire. En outre, son père s'étant remarié en Suisse où il a eu d'autres enfants, on peut penser que ses relations avec sa première famille en Turquie se sont distendues. Aussi, en dépit des liens de sang du recourant avec un ancien militant de la cause kurde, le Tribunal estime que les autorités turques n'ont, au vu des considérants qui précèdent et de l'effacement politique de son père en Turquie, aucun intérêt à prendre des mesures de représailles contre l'intéressé, ce d'autant moins que celui-ci est, comme on l'a vu, sans profil politique avéré, au contraire de son frère aîné dont il a dit qu'il avait fait l'objet d'une condamnation suivie d'une détention. Quant à son autre frère, B._______, le présent Tribunal a rejeté son recours en matière d'asile et de renvoi de Suisse. Enfin, l'obtention d'un passeport en 2007 permet de conclure qu'il n'était pas recherché à cause de son père au moment de son départ. Certes, à l'appui de ses dires, le recourant a produit en première instance la copie d'une coupure de presse avec photographie sur les difficultés de sa famille avec les autorités turques. On peut ainsi l'y voir en compagnie de sa mère et de ses frères et soeurs. Il n'est par contre pas possible de distinguer la date de publication de l'article. Celui-ci n'ajoute toutefois rien aux déclarations du recourant. Les membres de sa famille et leur avocat y font en effet avant tout état d'incessantes visites domiciliaires imposées par des policiers à la recherche du frère aîné du recourant. Or, ce genre de mesures ne saurait être assimilable à de sérieux préjudice au sens de l'art. 3 LAsi et ne saurait impliquer que l'intéressé soit exposé à des persécutions selon la jurisprudence relative à la disposition précitée dans son pays d'origine. En outre, telle qu'on peut l'observer sur la photographie de la coupure de presse, la plus jeune soeur du recourant paraît avoir tout au plus quatre ans. Comme celle-ci serait née en 2002, selon les déclarations du recourant, l'extrait de la coupure doit en conséquence remonter à 2005 voire 2006. Or le recourant ayant obtenu son passeport en 2007, on peut donc en conclure qu'à ce moment, les autorités de son pays n'avaient rien à lui reprocher, sans cela elles ne lui auraient certainement pas délivré ce document d'identité. Aussi, en dépit des moyens produits, le Tribunal considère en définitive qu'un risque de persécution réfléchie du recourant dans son pays n'apparaît pas hautement probable.</w:t>
      </w:r>
    </w:p>
    <w:p>
      <w:r>
        <w:rPr>
          <w:b/>
        </w:rPr>
        <w:t>E. 3.7</w:t>
      </w:r>
    </w:p>
    <w:p>
      <w:r>
        <w:t>Le recourant a aussi fait remarquer qu'il se trouvait dans la tranche d'âge de ceux appelés à accomplir leur service militaire dans son pays. Aussi, il dit craindre qu'une fois incorporé dans l'armée, les militaires ne lui fassent payer ses antécédents familiaux en l'exposant à des périls auxquels les autres appelés ne seraient pas soumis. Sur ce point, le Tribunal note que, dans la règle, pour un conscrit, le simple fait d'être d'ethnie kurde ne suffit pas à rendre vraisemblable qu'il sera maltraité en accomplissant son service militaire. Dans un rapport de juin 2009, la Croix-Rouge autrichienne spécifie d'ailleurs qu'aucune discrimination systématique des Kurdes n'existe dans l'armée turque (Öster-reichisches Rotes Kreuz, KurdInnen in der Turkei, juin 2009 p. 39-41) ; les brimades parfois graves que certains peuvent subir dépendent avant tout des soupçons de sympathies séparatistes qu'on peut leur imputer, de leurs antécédents familiaux aussi ou encore de l'attitude individuelle des officiers. Les décès suspects de recrues, par meurtre ou suicide, de l'ordre de quelques dizaines sur plusieurs années, peuvent pour partie s'expliquer de cette manière ; les Kurdes n'en sont cependant pas les seules victimes. Cela étant, pour ce qui concerne le recourant lui-même, le Tribunal note que ses craintes à ce sujet ne relèvent que d'une éventualité. Le recourant n'a en effet pas rendu vraisemblable qu'il avait été convoqué pour accomplir les premières démarches visant à son incorporation dans l'armée ni qu'il s'était soustrait à cette obligation. De même, il est vrai que des jeunes Kurdes, appartenant en particulier aux classes populaires, ont été affectés à des unités de l'armée engagées dans des zones de combats à l'est du pays et que cela a pu leur poser un problème de conscience. Néanmoins, l'affectation au sein de l'armée turque est, en principe, décidée de manière aléatoire, et on ne saurait affirmer que seuls des Kurdes sont affectés à de telles unités, ni que cela répond à une volonté des autorités, basée sur des critères politiques ou ethniques au sens de l'art. 3 LAsi. Le combat contre le Parti des travailleurs du Kurdistan (PKK) tend d'ailleurs de plus en plus à être confié à des soldats de métier, spécialement entraînés dans ce but. Aussi, en l'état et vu ce qui précède, le Tribunal considère les craintes du recourant, qui n'a pas rendu vraisemblable sa situation de conscrit, ne sont pas objectivement fondées.</w:t>
      </w:r>
    </w:p>
    <w:p>
      <w:r>
        <w:rPr>
          <w:b/>
        </w:rPr>
        <w:t>E. 4.1</w:t>
      </w:r>
    </w:p>
    <w:p>
      <w:r>
        <w:t>Il s'ensuit que le recours, en tant qu'il conteste le refus de reconnaissance de la qualité de réfugié et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La personne concernée doit au contraire rendre hautement probable ("real risk") qu'elle serait directement visée par des mesures incompatibles avec les dispositions conventionnelles précitées (cf. notamment arrêt du Tribunal administratif fédéral D-5378/2006 du 30 novembre 2010 consid. 13.2.1 et réf. cit.).</w:t>
      </w:r>
    </w:p>
    <w:p>
      <w:r>
        <w:rPr>
          <w:b/>
        </w:rPr>
        <w:t>E. 7.5</w:t>
      </w:r>
    </w:p>
    <w:p>
      <w:r>
        <w:t>En l'occurrence, le Tribunal considère, pour les même motifs que ceux exposés au considérant 3 ci-dessus, que le recourant n'a pas établi qu'un retour dans son pays d'origine entraînerait pour lui un risque réel de traitements prohibés. Il n'a pas non plus établi l'existence de motifs sérieux de conclure à un risque actuel et concret de torture au sens de l'art. 3 CEDH et de l'art. 3 de la Convention contre la torture.</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Il est notoire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une mise en danger concrète pour le recourant en cas d'exécution du renvoi. A cet égard, le Tribunal relève notamment que le recourant est un jeune homme, capable de vivre de manière indépendante et par conséquent d'assurer sa subsistance. Certes, il laisse entendre que ce qu'il a vécu dans son pays l'a déstabilisé psychiquement. Il ne prétend toutefois pas que son état nécessiterait des soins particuliers qui ne pourraient lui être dispensés dans son pays. Enfin, il dispose en Turquie d'un réseau familial et social apte à le soutenir et à faciliter son retour. Si nécessaire, il pourra aussi solliciter une aide de son père et de son frère en Suisse.</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la décision querellée doit être déclarée conforme aux dispositions légales en ce qui concerne l'exécution du renvoi.</w:t>
      </w:r>
    </w:p>
    <w:p>
      <w:r>
        <w:rPr>
          <w:b/>
        </w:rPr>
        <w:t>E. 10.2</w:t>
      </w:r>
    </w:p>
    <w:p>
      <w:r>
        <w:t>Il s'ensuit que le recours, en tant qu'il conteste la décision de renvoi et son exécution, doit être également rejeté.</w:t>
      </w:r>
    </w:p>
    <w:p>
      <w:r>
        <w:rPr>
          <w:b/>
        </w:rPr>
        <w:t>E. 11</w:t>
      </w:r>
    </w:p>
    <w:p>
      <w:r>
        <w:t>Même s'il succombe, il n'y a pas lieu de mettre les frais de procédure à la charge du recourant auquel l'assistance judicaire partielle a été octroyée par décision incidente du 11 mars 2011 conformément aux art. 63 al. 4 et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