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E-1070/2023 vom 10. Mai 2023</w:t>
      </w:r>
    </w:p>
    <w:p>
      <w:r>
        <w:t>Bundesverwaltungsgericht, 2023-05-10, DE</w:t>
      </w:r>
    </w:p>
    <w:p>
      <w:r>
        <w:rPr>
          <w:b/>
        </w:rPr>
        <w:t xml:space="preserve">Quelle: </w:t>
      </w:r>
      <w:r>
        <w:t>https://mcp.opencaselaw.ch/entscheid/bvger_E-1070_2023</w:t>
      </w:r>
    </w:p>
    <w:p>
      <w:r>
        <w:t>FR: TAF E-1070/2023 du 10 mai 2023</w:t>
      </w:r>
    </w:p>
    <w:p>
      <w:r>
        <w:t>IT: TAF E-1070/2023 del 10 maggio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in der Schweiz am 19. Februar 2021 ein Asylgesuch eingereicht, über welches die Vorinstanz in Form einer anfechtbaren Verfügung zu befinden hat. 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 der Beschwerdeführer hat damit nicht übermässig lang zugewartet.</w:t>
      </w:r>
    </w:p>
    <w:p>
      <w:r>
        <w:rPr>
          <w:b/>
        </w:rPr>
        <w:t>E. 1.4</w:t>
      </w:r>
    </w:p>
    <w:p>
      <w:r>
        <w:t>Gestützt auf die vorstehenden Erwägungen ist auf die formgerecht eingereichte (Art. 52 Abs. 1 VwVG) Rechtsverzögerungsbeschwerde einzutreten.</w:t>
      </w:r>
    </w:p>
    <w:p>
      <w:r>
        <w:rPr>
          <w:b/>
        </w:rPr>
        <w:t>E. 2</w:t>
      </w:r>
    </w:p>
    <w:p>
      <w:r>
        <w:t>Das Prüfungsergebnis beschränkt sich vorliegend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In seiner Beschwerde beanstandet der Beschwerdeführer, seit der Zuweisung seines Asylverfahrens in das erweiterte Verfahren sei sein Gesuch unbearbeitet geblieben. Die Ordnungsfrist nach Art. 37 Abs. 4 AsylG sei klar überschritten. Weiter seien keine rechtfertigenden Gründe für eine inhaltliche Verfahrensverzögerung erkennbar; weder sei die Sache besonders komplex noch seien Abklärungen im Gange. Die Dauer des Verfahrens sei nicht angemessen. Zudem sei der Beschwerdeführer seiner Mitwirkungspflicht im Verfahren stets nachgekommen. Auch mit Blick auf die Gesamtdauer des Verfahrens sei das Beschleunigungsgebot verletzt.</w:t>
      </w:r>
    </w:p>
    <w:p>
      <w:r>
        <w:rPr>
          <w:b/>
        </w:rPr>
        <w:t>E. 4.2</w:t>
      </w:r>
    </w:p>
    <w:p>
      <w:r>
        <w:t>Zwar dürfte es sich aufgrund der Akten durchaus um ein Verfahren von gewisser Komplexität handeln, auch angesichts des Länderkontextes rund um die seit September 2022 anhaltenden Protestkundgebungen im Iran. Die Komplexität des Verfahrens und eine allfällige Lageveränderung rechtfertigen jedoch nicht, dass das SEM, wie der Beschwerdeführer zu Recht vorbringt, seit der Zuweisung ins erweiterte Verfahren und damit seit nunmehr 22 Monaten keine Verfahrenshandlungen vorgenommen hat, um das Gesuch der Entscheidreife zuzuführen. Dies nachdem Abklärungsbedarf hinsichtlich Länderinformationen Grund für die Zuweisung gewesen sei (SEM-Akten [...] [A] 22). Ein behördliches Untätigsein während solch einer langen Dauer verletzt das Beschleunigungsgebot (vgl. Urteile des BVGer E-2601/2022 vom 5. August 2022 E. 4.2; E-4371/2020 vom 26. Oktober 2020 E. 4.7.2). Zwar hat der Beschwerdeführer mehrmals Beweismittel eingereicht. Allerdings handelt es sich ausnahmslos um solche, die sein fortlaufendes exilpolitisches Engagement in der Schweiz dokumentieren sollen, womit ihm nicht ohne Weiteres entgegengehalten werden kann, er selbst zeige an, dass die Sache nicht spruchreif sei. Zuzustimmen ist ihm, wenn er ausführt, dass er seiner Mitwirkungspflicht im Verfahren nachgekommen ist. So wurden die Beweismittel, soweit es sich nicht ohnehin um Bilddateien handelte, übersetzt und ohne Verzögerung nach ihrer Entstehung eingereicht. Auch der Umstand, dass der Beschwerdeführer rund eineinhalb Monate nach seiner letzten Verfahrensstandanfrage und Inaussichtstellung einer Rechtsverzögerungsbeschwerde weitere Beweismittel eingereicht hat, widerspricht in der vorliegenden Konstellation dem Grundsatz von Treu und Glauben nicht. Auch diese Beweismittel beziehen sich auf aktuelle politische Aktivitäten des Beschwerdeführers. Nach deren Einreichung liess er der Vorinstanz mit dem Zeitpunkt seiner Beschwerdeer-hebung mehr als drei Monate Zeit, um auf die neuen Aktenstücke zu reagieren oder diese in einen allfälligen Entscheid einfliessen zu lassen. Dass die Vorinstanz sich generell mit den vom Beschwerdeführer eingereichten Beweismitteln befasst hätte, ist sodann nicht erkennbar.</w:t>
      </w:r>
    </w:p>
    <w:p>
      <w:r>
        <w:rPr>
          <w:b/>
        </w:rPr>
        <w:t>E. 5</w:t>
      </w:r>
    </w:p>
    <w:p>
      <w:r>
        <w:t>Aufgrund des Gesagten erweist sich die Rüge der Rechtsverzögerung im Zeitpunkt der Beschwerdeerhebung am 23. Februar 2023 als begründet, weshalb die Beschwerde gutzuheissen ist und das SEM aufgefordert wird, die Behandlung des Asylgesuchs des Beschwerdeführers zügig - das heisst unter Vermeidung weiterer Phasen der Nichtbearbeitung - fortzuführen.</w:t>
      </w:r>
    </w:p>
    <w:p>
      <w:r>
        <w:rPr>
          <w:b/>
        </w:rPr>
        <w:t>E. 6.1</w:t>
      </w:r>
    </w:p>
    <w:p>
      <w:r>
        <w:t>Bei diesem Ausgang des Verfahrens sind keine Kosten zu erheben (Art. 63 Abs. 1 und 2 VwVG).</w:t>
      </w:r>
    </w:p>
    <w:p>
      <w:r>
        <w:rPr>
          <w:b/>
        </w:rPr>
        <w:t>E. 6.2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Da keine Kostennote eingereicht wurde, sind die notwendigen Parteikosten aufgrund der Akten zu bestimmen (Art. 14 Abs. 2 in fine VGKE). Gestützt auf die in Betracht zu ziehenden Bemessungsfaktoren (Art. 9-13 VGKE) ist dem Beschwerdeführer zulasten der Vorinstanz eine Parteientschädigung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