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E-1061/2024 vom 26. Februar 2024</w:t>
      </w:r>
    </w:p>
    <w:p>
      <w:r>
        <w:t>Bundesverwaltungsgericht, 2024-02-26, DE</w:t>
      </w:r>
    </w:p>
    <w:p>
      <w:r>
        <w:rPr>
          <w:b/>
        </w:rPr>
        <w:t xml:space="preserve">Quelle: </w:t>
      </w:r>
      <w:r>
        <w:t>https://mcp.opencaselaw.ch/entscheid/bvger_E-1061_2024</w:t>
      </w:r>
    </w:p>
    <w:p>
      <w:r>
        <w:t>FR: TAF E-1061/2024 du 26 février 2024</w:t>
      </w:r>
    </w:p>
    <w:p>
      <w:r>
        <w:t>IT: TAF E-1061/2024 del 26 febbraio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48 Abs. 1 VwVG). Die Rechtsbegehren der eingereichten Formularbe- schwerde sind zwar in Englisch – und somit nicht in einer Amtssprache des Bundes – gestellt. Angesichts der ausreichenden Verständlichkeit und ins- besondere der in deutscher Sprache verfassten Beschwerdebegründung kann aber praxisgemäss auf eine Beschwerdeverbesserung verzichtet werden. Auf die frist- und formgerecht eingereichte Beschwerde ist somit – unter dem nachfolgenden Vorbehalt – einzutreten (Art. 108 Abs. 1 AsylG und Art. 52 Abs. 1 VwVG).</w:t>
      </w:r>
    </w:p>
    <w:p>
      <w:r>
        <w:rPr>
          <w:b/>
        </w:rPr>
        <w:t>E. 1.3</w:t>
      </w:r>
    </w:p>
    <w:p>
      <w:r>
        <w:t>Das SEM hat die aufschiebende Wirkung nicht entzogen und der Be- schwerde kommt von Gesetzes wegen aufschiebende Wirkung zu (Art. 55 Abs. 1 und 2 VwVG), womit auf den Antrag auf Erteilung der aufschieben- den Wirkung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Sie ist im Ver- fahren einzelrichterlicher Zuständigkeit mit Zustimmung eines zweiten Richters beziehungsweise einer zweiten Richterin (Art. 111 Bst. e AsylG) ohne Durchführung eines Schriftenwechsels und mit summarischer Be- gründung zu behandeln (Art. 111a Abs. 1 und 2 AsylG).</w:t>
      </w:r>
    </w:p>
    <w:p>
      <w:r>
        <w:t>E-1061/2024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fehlenden asylrechtlichen Relevanz der Vorbringen der Beschwerdeführe- rin. Grundsätzlich sei von der Schutzfähigkeit und dem Schutzwillen der kolumbianischen Behörden bei Verfolgung durch nicht-staatliche Akteure auszugehen. Sie habe zwar angegeben, von den Justiz- und Polizeibehör- den abgewimmelt worden zu sein; es wäre ihr aber zumutbar und möglich gewesen, in dieser Sache hartnäckig zu bleiben und eine höhere Instanz oder eine Menschenrechtsorganisation einzuschalten. Zudem liege der geltend gemachten Verfolgung kein asylrechtlich relevantes Motiv zu- grunde, sondern es handle sich um gemeinrechtliche Kriminalität. Im Übri- gen seien ihre Aussagen zu den angeblichen Übergriffen sowie zu den Hin- tergründen der Verschwörung auch auf Nachfrage hin vage und diffus ge- blieben, weshalb auch Zweifel an der Glaubhaftigkeit der geltend gemach- ten Vorbringen beständen.</w:t>
      </w:r>
    </w:p>
    <w:p>
      <w:r>
        <w:rPr>
          <w:b/>
        </w:rPr>
        <w:t>E. 5.2</w:t>
      </w:r>
    </w:p>
    <w:p>
      <w:r>
        <w:t>In ihrem Rechtsmittel bekräftigte die Beschwerdeführerin im Wesentli- chen ihre Befürchtungen, bei einer Rückkehr nach Kolumbien ihr Leben in Gefahr zu bringen. Trotz hartnäckiger Bemühungen seien die kolumbiani- schen Behörden weder gewillt noch fähig, sie vor dem kriminellen Netz- werk hinter der von ihr erwähnten Verschwörung zu schützen, zumal die Behörden ebenfalls von diesem unterwandert seien.</w:t>
      </w:r>
    </w:p>
    <w:p>
      <w:r>
        <w:t>E-1061/2024 Seite 6</w:t>
      </w:r>
    </w:p>
    <w:p>
      <w:r>
        <w:rPr>
          <w:b/>
        </w:rPr>
        <w:t>E. 6.1</w:t>
      </w:r>
    </w:p>
    <w:p>
      <w:r>
        <w:t>Das Bundesverwaltungsgericht kommt nach Prüfung der Akten zum Schluss, dass die Vorinstanz zu Recht die flüchtlingsrechtliche Relevanz der Vorbringen der Beschwerdeführerin verneint hat. Die Ausführungen in der Beschwerde vermögen der vorinstanzlichen Einschätzung in der ange- fochtenen Verfügung nichts Stichhaltiges entgegenzusetzen. Als wesentlich wird Folgendes erachtet:</w:t>
      </w:r>
    </w:p>
    <w:p>
      <w:r>
        <w:rPr>
          <w:b/>
        </w:rPr>
        <w:t>E. 6.2</w:t>
      </w:r>
    </w:p>
    <w:p>
      <w:r>
        <w:t>Entgegen der Ausführungen der Beschwerdeführerin manifestiert sich im vorliegenden Fall weder ein Unwille noch die Unfähigkeit der kolumbia- nischen Behörden, ihr Schutz vor privater Verfolgung zu gewähren, sofern ihr denn tatsächlich solche drohen sollte. Bei den eingereichten Beweis- mitteln handelt es sich grösstenteils um Eingaben der Beschwerdeführerin an kolumbianische Behörden und Amtsstellen aus denen keine Hinweise auf tatsächliche Schutzverweigerung hervorgehen.</w:t>
      </w:r>
    </w:p>
    <w:p>
      <w:r>
        <w:rPr>
          <w:b/>
        </w:rPr>
        <w:t>E. 6.3</w:t>
      </w:r>
    </w:p>
    <w:p>
      <w:r>
        <w:t>Die Beschwerdeführerin leidet gemäss einem ärztlichen Bericht vom 23. November 2023 an paranoider Schizophrenie (ICD Code F20.0 [vgl. SEM-act. A14]). Aus ihren Ausführungen anlässlich der Anhörung geht her- vor, dass sie wohl gewisse Zweifel an dieser Diagnose hegt und sie diese in erster Linie im Zusammenhang mit der von ihr vermuteten Verschwörung versteht (vgl. SEM-act. A15 ad F36–46). Vor diesem Hintergrund wird nicht bezweifelt, dass die Beschwerdeführerin sich in der Vergangenheit auf- grund subjektiver Ängste und Empfindungen bereits mehrfach veranlasst sah, ihr Heimatland zu verlassen. Diese Befürchtungen lassen sich aller- dings weder aufgrund ihrer Schilderungen noch anhand der eingereichten Beweismittel objektivieren.</w:t>
      </w:r>
    </w:p>
    <w:p>
      <w:r>
        <w:rPr>
          <w:b/>
        </w:rPr>
        <w:t>E. 6.4</w:t>
      </w:r>
    </w:p>
    <w:p>
      <w:r>
        <w:t>Zusammenfassend ist daher festzuhalten, dass die Vorinstanz zu Recht die Flüchtlingseigenschaft der Beschwerdeführerin verneint und ihr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t>E-1061/2024 Seite 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 stellung der Flüchtlinge [FK]). Gemäss Art. 25 Abs. 3 BV, Art. 3 FoK und der Praxis zu Art. 3 EMRK darf niemand der Folter oder unmenschlicher oder erniedrigender Strafe oder Behandlung unterworfen werden.</w:t>
      </w:r>
    </w:p>
    <w:p>
      <w:r>
        <w:rPr>
          <w:b/>
        </w:rPr>
        <w:t>E. 8.2.1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8.2.2</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w:t>
      </w:r>
    </w:p>
    <w:p>
      <w:r>
        <w:t>E-1061/2024 Seite 8 Saadi gegen Italien vom 28. Februar 2008, Grosse Kammer 37201/06, §§ 124–127 m.w.H.). Dies gelingt ihr nicht.</w:t>
      </w:r>
    </w:p>
    <w:p>
      <w:r>
        <w:rPr>
          <w:b/>
        </w:rPr>
        <w:t>E. 8.2.3</w:t>
      </w:r>
    </w:p>
    <w:p>
      <w:r>
        <w:t>Auch die allgemeine Menschenrechtssituation im Heimatstaat lässt den Wegweisungsvollzug zum heutigen Zeitpunkt nicht als unzulässig er- scheinen.</w:t>
      </w:r>
    </w:p>
    <w:p>
      <w:r>
        <w:rPr>
          <w:b/>
        </w:rPr>
        <w:t>E. 8.2.4</w:t>
      </w:r>
    </w:p>
    <w:p>
      <w:r>
        <w:t>Der Vollzug der Wegweisung erweist sich damit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Kolumbien herrscht weder Krieg oder Bürgerkrieg noch eine Situ- ation allgemeiner Gewalt, aufgrund derer eine Rückkehr generell unzumut- bar wäre (vgl. hierzu etwa die Urteile des BVGer E-6583/2020 vom 11. Ja- nuar 2024 E. 9.3.3, E-2705/2023 vom 23. Mai 2023 E. 8.3.1 und D-2760/2022 vom 16. März 2023 E. 8.4.1)</w:t>
      </w:r>
    </w:p>
    <w:p>
      <w:r>
        <w:rPr>
          <w:b/>
        </w:rPr>
        <w:t>E. 8.3.2</w:t>
      </w:r>
    </w:p>
    <w:p>
      <w:r>
        <w:t>Zur Begründung hinsichtlich der individuellen Zumutbarkeit des Wegweisungsvollzugs – insbesondere auch betreffend den Gesundheits- zustand der Beschwerdeführerin – kann vollumfänglich auf die zutreffen- den Argumente der Vorinstanz verwiesen werden (vgl. angefochtene Ver- fügung S. 4 f.), denen in der Beschwerde nichts entgegengesetzt wird.</w:t>
      </w:r>
    </w:p>
    <w:p>
      <w:r>
        <w:rPr>
          <w:b/>
        </w:rPr>
        <w:t>E. 8.3.3</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E-1061/2024 Seite 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der Beschwerdeführerin abzuweisen, da die Begehren gemäss den vorstehenden Erwägungen als aussichtslos zu bezeichnen waren und es daher an einer gesetzlichen Voraussetzung zu deren Ge- währung fehlt. Das Gesuch um Verzicht auf eine Kostenvorschusserhe- bung ist mit dem vorliegenden Entscheid gegenstandslos geworden.</w:t>
      </w:r>
    </w:p>
    <w:p>
      <w:r>
        <w:rPr>
          <w:b/>
        </w:rPr>
        <w:t>E. 10.2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E-1061/2024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