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E-1059/2023 vom 7. Juni 2023</w:t>
      </w:r>
    </w:p>
    <w:p>
      <w:r>
        <w:t>Bundesverwaltungsgericht, 2023-06-07, DE</w:t>
      </w:r>
    </w:p>
    <w:p>
      <w:r>
        <w:rPr>
          <w:b/>
        </w:rPr>
        <w:t xml:space="preserve">Quelle: </w:t>
      </w:r>
      <w:r>
        <w:t>https://mcp.opencaselaw.ch/entscheid/bvger_E-1059_2023</w:t>
      </w:r>
    </w:p>
    <w:p>
      <w:r>
        <w:t>FR: TAF E-1059/2023 du 7 juin 2023</w:t>
      </w:r>
    </w:p>
    <w:p>
      <w:r>
        <w:t>IT: TAF E-1059/2023 del 7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und dem BGG, soweit das AsylG nichts anderes bestimmt (Art. 37 VGG und Art. 6 AsylG).</w:t>
      </w:r>
    </w:p>
    <w:p>
      <w:r>
        <w:rPr>
          <w:b/>
        </w:rPr>
        <w:t>E. 1.2</w:t>
      </w:r>
    </w:p>
    <w:p>
      <w:r>
        <w:t>Hinsichtlich des Asyls und der Wegweisung entscheidet das Gericht endgültig (Art. 105 AsylG; Art. 83 Bst. d Ziff. 1 BGG).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50 Abs. 1, Art. 48 Abs. 1 sowie Art. 52 Abs. 1 VwVG). Auf die Beschwerde ist – vorbehältlich nachstehender Erwägung – einzutreten.</w:t>
      </w:r>
    </w:p>
    <w:p>
      <w:r>
        <w:rPr>
          <w:b/>
        </w:rPr>
        <w:t>E. 1.4</w:t>
      </w:r>
    </w:p>
    <w:p>
      <w:r>
        <w:t>Insoweit der Beschwerdeführer beantragt, es sei sein Geburtsdatum im ZEMIS auf den 25. November 2004 anzupassen, ist auf die Beschwerde nicht einzutreten, da dies eine unzulässige Erweiterung des Streitgegen- standes darstellt. Dem Beschwerdeführer ist es unbenommen, bei Bedarf</w:t>
      </w:r>
    </w:p>
    <w:p>
      <w:r>
        <w:t>E-1059/2023 Seite 5 beim SEM einen entsprechenden Antrag auf Änderung seiner Daten im ZEMIS zu stellen.</w:t>
      </w:r>
    </w:p>
    <w:p>
      <w:r>
        <w:rPr>
          <w:b/>
        </w:rPr>
        <w:t>E. 2.1</w:t>
      </w:r>
    </w:p>
    <w:p>
      <w:r>
        <w:t>Die Kognition des Bundesverwaltungsgerichts und die zulässigen Rü- gen richten sich im Asylbereich nach Art. 106 Abs. 1 AsylG, vorliegend im Übrigen nach Art. 49 VwVG.</w:t>
      </w:r>
    </w:p>
    <w:p>
      <w:r>
        <w:rPr>
          <w:b/>
        </w:rPr>
        <w:t>E. 2.2</w:t>
      </w:r>
    </w:p>
    <w:p>
      <w:r>
        <w:t>Betreffend das Asylverfahren wurde gestützt auf Art. 111a Abs. 1 AsylG auf die Durchführung eines Schriftenwechsels verzichtet. In Bezug auf die Datenänderung im ZEMIS wäre ein Schriftenwechsel durchzuführen (Art. 57 Abs. 1 VwVG); aufgrund des Verfahrensausgangs wurde indessen darauf verzichtet.</w:t>
      </w:r>
    </w:p>
    <w:p>
      <w:r>
        <w:rPr>
          <w:b/>
        </w:rPr>
        <w:t>E. 3</w:t>
      </w:r>
    </w:p>
    <w:p>
      <w:r>
        <w:t>Der Beschwerdeführer rügt, indem die Vorinstanz im Verlauf des Asylver- fahrens ohne Begründung die Akteneinsicht in die Botschaftsabklärungen und das rechtliche Gehör zur zweiten Botschaftsabklärung nicht gewährt habe, habe sie den Anspruch auf Akteneinsicht beziehungsweise das rechtliche Gehör verletzt. Weiter moniert der Beschwerdeführer eine Ver- letzung des Untersuchungsgrundsatzes mit der Begründung, seine Kern- vorbringen seien glaubhaft ausgefallen, weshalb ein Gutachten nach dem Istanbul-Protokoll hätte erstellt werden müssen und nicht automatisch von der Botschaftsabklärung auf die Unglaubhaftigkeit sämtlicher Asylgründe hätte geschlossen werden dürfen. Hiermit macht der Beschwerdeführer formelle Rügen geltend, die vorab zu prüfen sind, da sie zu einer Kassation der angefochtenen Verfügung führen können.</w:t>
      </w:r>
    </w:p>
    <w:p>
      <w:r>
        <w:rPr>
          <w:b/>
        </w:rPr>
        <w:t>E. 4.1</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Das Recht auf vorgängige Anhörung (Art. 30 Abs. 1 VwVG) als Teilgehalt des rechtlichen Gehörs sieht insbesondere vor, dass die Be- hörde sich beim Erlass ihrer Verfügung nicht auf Tatsachen abstützen darf,</w:t>
      </w:r>
    </w:p>
    <w:p>
      <w:r>
        <w:t>E-1059/2023 Seite 6 zu denen sich die von der Verfügung betroffene Person nicht vorgängig äussern und diesbezüglich Beweis führen konnte.</w:t>
      </w:r>
    </w:p>
    <w:p>
      <w:r>
        <w:rPr>
          <w:b/>
        </w:rPr>
        <w:t>E. 4.2</w:t>
      </w:r>
    </w:p>
    <w:p>
      <w:r>
        <w:t>Aus dem Akteneinsichtsrecht als Teilgehalt des rechtlichen Gehörs folgt, dass grundsätzlich sämtliche beweiserheblichen Akten den Beteilig- ten offenzulegen sind, sofern in der sie unmittelbar betreffenden Verfügung darauf abgestellt wird (BGE 132 V 387 E. 3.1 f.). So können sich die Be- troffenen in einem Verfahren nur dann wirksam zur Sache äussern und ge- eignet Beweis führen beziehungsweise Beweismittel bezeichnen, wenn ihnen die Möglichkeit eingeräumt wird, die Unterlagen einzusehen, auf wel- 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 weigert, muss ihr die Behörde indes von seinem wesentlichen Inhalt Kennt- nis sowie die Gelegenheit geben, sich dazu zu äussern und Gegenbeweis- mittel zu bezeichnen (Art. 28 VwVG).</w:t>
      </w:r>
    </w:p>
    <w:p>
      <w:r>
        <w:rPr>
          <w:b/>
        </w:rPr>
        <w:t>E. 4.3</w:t>
      </w:r>
    </w:p>
    <w:p>
      <w:r>
        <w:t>Die Wahrnehmung des Akteneinsichts- und Beweisführungsrechts durch die von einer Verfügung betroffene Person setzt die Einhaltung der Aktenführungspflicht der Verwaltung voraus, gemäss welcher die Behör- den alles in den Akten festzuhalten haben, was zur Sache gehört und für den Entscheid wesentlich sein kann (BGE 130 II 473 E. 4.1 m.w.H.). Der Anspruch auf Akteneinsicht setzt eine geordnete, übersichtliche und voll- ständige Aktenführung (Ablage, Paginierung und Registrierung der voll- ständigen Akten im Aktenverzeichnis) voraus (vgl. BVGE 2012/24 E. 3.2, 2011/37 E. 5.4.1).</w:t>
      </w:r>
    </w:p>
    <w:p>
      <w:r>
        <w:rPr>
          <w:b/>
        </w:rPr>
        <w:t>E. 4.4</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5</w:t>
      </w:r>
    </w:p>
    <w:p>
      <w:r>
        <w:t>Was der Beschwerdeführer unter dem Titel Verletzung des Untersuchungs- grundsatzes rügt, vermag nicht zu überzeugen. Alleine der Umstand, dass das SEM nach Würdigung der Parteivorbringen zu einem anderen Schluss</w:t>
      </w:r>
    </w:p>
    <w:p>
      <w:r>
        <w:t>E-1059/2023 Seite 7 als der Beschwerdeführer gelangt, stellt weder eine Verletzung des An- spruches auf rechtliches Gehör noch eine unvollständige oder fehlerhafte Sachverhaltsfeststellung dar, sondern beschlägt die materielle Beurteilung. Sollte sich hierbei schliesslich bestätigen, dass die Vorbringen des Be- schwerdeführers unglaubhaft ausgefallen sind, ist das SEM a fortiori nicht gehalten, ein Gutachten nach dem Istanbul-Protokoll (Manual on the Effec- tive Investigation and Documentation of Torture and Other Cruel, Inhuman or Degrading Treatment or Punishment [Istanbul Protocol], 2004, HR/P/PT/8/Rev.1) durchzuführen, weshalb das entsprechende Vorgehen des SEM aus formeller Sicht nicht zu beanstanden ist. Die entsprechenden Rügen erweisen sich als unbegründet.</w:t>
      </w:r>
    </w:p>
    <w:p>
      <w:r>
        <w:rPr>
          <w:b/>
        </w:rPr>
        <w:t>E. 6.1</w:t>
      </w:r>
    </w:p>
    <w:p>
      <w:r>
        <w:t>Eine Botschaftsanfrage und die entsprechende Auskunft der Botschaft stellt eine Einheit in dem Sinne dar, dass eine Botschaftsabklärung sowohl die gestellten Fragen als auch die Antworten der schweizerischen Vertre- tung beinhaltet. Das SEM hat im Verlauf des vorliegenden Asylverfahrens offensichtlich zwei Botschaftsanfragen an die Schweizerische Botschaft in Addis Abeba gerichtet. Hiervon ist jedoch lediglich die erste Anfrage akten- kundig (vgl. SEM-eAkten 33/3). Überdies wurde die erste Auskunft der Bot- schaft mit Zustellumschlag, die zweite jedoch weder mit einem Begleit- schreiben noch mit einem Zustellumschlag in den Akten abgelegt (vgl. SEM-eAkten 40/6 und 48/1). Die Einhaltung der Aktenführungspflicht setzt voraus, dass die Behörde al- les in den Akten festhält, was zur Sache gehört und für den Entscheid we- sentlich sein kann (vgl. BGE 130 II 473 E. 4.1 m.w.H.). Der Anspruch auf Akteneinsicht setzt eine geordnete, übersichtliche und vollständige Akten- führung (Ablage, Paginierung und Registrierung der vollständigen Akten im Aktenverzeichnis) voraus (vgl. BVGE 2012/24 E. 3.2, 2011/37 E. 5.4.1). Indem vorliegend zentrale Dokumente nicht und andere nicht vollständig in den Akten abgelegt wurden, wurde die Aktenführungspflicht verletzt.</w:t>
      </w:r>
    </w:p>
    <w:p>
      <w:r>
        <w:rPr>
          <w:b/>
        </w:rPr>
        <w:t>E. 6.2</w:t>
      </w:r>
    </w:p>
    <w:p>
      <w:r>
        <w:t>Weiter ist festzustellen, dass die aktenkundige Botschaftsanfrage und die beiden Abklärungsergebnisse in den vorinstanzlichen Akten als «A» (überwiegend öffentliche oder private Interessen an der Geheimhaltung) klassifiziert, mithin als nicht zur Edition vorgesehen paginiert wurden. Dar- über hinaus sind den SEM-Akten auch keine anonymisierten Versionen hiervon zu entnehmen. Dies lässt darauf schliessen, dass – ungeachtet der Ausführungen in der Beschwerde – auch mit dem Urteil keine Akteneinsicht in die Botschaftsabklärungen gewährt wurde. Diese Schlussfolgerung wird</w:t>
      </w:r>
    </w:p>
    <w:p>
      <w:r>
        <w:t>E-1059/2023 Seite 8 schliesslich durch die (nicht näher begründete) Formulierung in der ange- fochtenen Verfügung erhärtet, wonach entsprechende Informationen der Geheimhaltung unterliegen würden (vgl. angefochtene Verfügung S. 7). Nachfolgend bleibt somit zu prüfen, ob Einsicht in die Botschaftsabklärun- gen zu gewähren ist und ob das SEM den Beschwerdeführer vor Erlass der Verfügung ausreichend zu den Botschaftsabklärungen angehört hat (vgl. Art. 30 Abs. 1 VwVG).</w:t>
      </w:r>
    </w:p>
    <w:p>
      <w:r>
        <w:rPr>
          <w:b/>
        </w:rPr>
        <w:t>E. 6.3</w:t>
      </w:r>
    </w:p>
    <w:p>
      <w:r>
        <w:t>Botschaftsabklärungen unterliegen grundsätzlich der Akteneinsicht (vgl. Entscheidungen und Mitteilungen der Schweizerischen Asylrekurs- kommission [EMARK] 1994 Nr. 1 E. 3c), wobei entgegenstehende Geheim- haltungsinteressen unter Berücksichtigung des Grundsatzes der Verhält- nismässigkeit die Einsicht einschränken und sensible Passagen abgedeckt oder zusammengefasst offengelegt werden können (vgl. Urteile des BVGer D-4478/2019 vom 28. Januar 2020 E. 5.2, D-3529/2017 vom 24. Juli 2018 E. 2.3.3, E-5723/2017 vom 9. April 2018 E. 3.4). So können Geheimhal- tungsinteressen insbesondere in Bezug auf die Identität in- und ausländi- scher Informanten und Kontaktpersonen bestehen. Vor diesem Hintergrund wäre dem Beschwerdeführer (eingeschränkt) Ak- teneinsicht in die gesamten Botschaftsabklärungen zu gewähren und es wären die anonymisierten Versionen in den Akten abzulegen gewesen. In- dem dies nicht geschehen ist, hat die Vorinstanz den Anspruch auf rechtli- ches Gehör verletzt.</w:t>
      </w:r>
    </w:p>
    <w:p>
      <w:r>
        <w:rPr>
          <w:b/>
        </w:rPr>
        <w:t>E. 6.4</w:t>
      </w:r>
    </w:p>
    <w:p>
      <w:r>
        <w:t>Es ist dem Beschwerdeführer sodann auch darin beizupflichten, dass die Botschaftsabklärungen eine zentrale Rolle in den Erwägungen der an- gefochtenen Verfügung einnehmen. So führt das SEM beispielsweise aus, die Abklärung (zweite Botschaftsabklärung) habe ergeben, dass die ge- nannte Kirche keinen entsprechenden Taufschein ausgestellt habe und der Name des Beschwerdeführers im Kirchenregister nicht verzeichnet sei, weshalb es offensichtlich sei, dass er das SEM zur Herkunft, Biographie, Reise und zu den Asylgründen getäuscht habe (vgl. angefochtene Verfü- gung S. 7). In Anbetracht der Trageweite, welche dieser Botschaftsabklä- rung in der Argumentation des SEM zukommt, wäre vor Erlass der ange- fochtenen Verfügung – ungeachtet des Einflusses auf den Ausgang des Verfahrens – das rechtliche Gehör hierzu zu gewähren gewesen. Die Bot- schaftsabklärung wurde dem Beschwerdeführer jedoch weder im Rahmen einer anonymisierten Version noch als Zusammenfassung des wesentli- chen Inhalts zur Kenntnis gebracht und zur Stellungnahme unterbreitet,</w:t>
      </w:r>
    </w:p>
    <w:p>
      <w:r>
        <w:t>E-1059/2023 Seite 9 wie dies bei einer korrekten vorgängigen Anhörung gemäss Art. 30 Abs. 1 VwVG geboten gewesen wäre (vgl. Urteil des BVGer E-2522/2019 vom 16. August 2019 insb. E. 6.3.4). Was im Übrigen die erste Botschaftsabklä- rung anbelangt, wurde dem Beschwerdeführer im Rahmen der ergänzen- den Anhörung zwar das rechtliche Gehör hierzu gewährt, dies jedoch le- diglich selektiv und auszugsweise. Die Offenlegung bloss einzelner As- pekte und Widersprüchlichkeiten einer Botschaftsabklärung vermag als vorgängige Anhörung ebenfalls nicht zu genügen (vgl. a.a.O.).</w:t>
      </w:r>
    </w:p>
    <w:p>
      <w:r>
        <w:rPr>
          <w:b/>
        </w:rPr>
        <w:t>E. 7</w:t>
      </w:r>
    </w:p>
    <w:p>
      <w:r>
        <w:t>Insgesamt ergibt sich aus den obigen Ausführungen, dass das SEM vorlie- gend seiner Verpflichtung zur Gewährung des rechtlichen Gehörs nicht hin- reichend nachgekommen ist und mit seinem Vorgehen sowohl das Recht auf vorgängige Anhörung im Sinne von Art. 30 VwVG als auch den An- spruch auf Akteneinsicht sowie die Aktenführungspflicht verletzt hat. Die Botschaftsabklärungen wurden weder vollständig in den Akten abgelegt noch wurden diese dem Beschwerdeführer rechtsgenüglich zur Stellung- nahme vorgelegt. Nachdem das SEM zur Begründung seiner abweisenden Verfügung in erheblichem Masse auf die Botschaftsabklärungen abstellte, ist vorliegend eine gravierende Verletzung des rechtlichen Gehörsan- spruchs zu bejahen.</w:t>
      </w:r>
    </w:p>
    <w:p>
      <w:r>
        <w:rPr>
          <w:b/>
        </w:rPr>
        <w:t>E. 8.1</w:t>
      </w:r>
    </w:p>
    <w:p>
      <w:r>
        <w:t>Gemäss Art. 61 Abs. 1 VwVG entscheidet das Bundesverwaltungsge- richt in der Sache selbst oder weist diese ausnahmsweise mit verbindlichen Weisungen an die Vorinstanz zurück. Der Anspruch auf rechtliches Gehör besteht unabhängig davon, ob dessen Achtung den Ausgang eines konkreten Verfahrens zu beeinflussen ver- mag; es handelt sich um einen Anspruch formeller Natur. Die Heilung von Gehörsverletzungen aus prozessökonomischen Gründen ist auf Be- schwerdeebene nur möglich, sofern die festgestellte Verletzung nicht schwerwiegender Natur ist, das Versäumte nachgeholt wird, der Be- schwerdeführer dazu Stellung nehmen kann und der Beschwerdeinstanz für die konkrete Streitfrage die freie Überprüfungsbefugnis in Bezug auf Tatbestand und Rechtsanwendung zukommt und die fehlende Entscheid- reife mit vertretbarem Aufwand hergestellt werden kann (vgl. BVGE 2015/10 E. 7.1).</w:t>
      </w:r>
    </w:p>
    <w:p>
      <w:r>
        <w:rPr>
          <w:b/>
        </w:rPr>
        <w:t>E. 8.2</w:t>
      </w:r>
    </w:p>
    <w:p>
      <w:r>
        <w:t>Eine Heilung der festgestellten Mängel und ein reformatorischer Ent- scheid durch das Bundesverwaltungsgericht sind nicht angezeigt, da es</w:t>
      </w:r>
    </w:p>
    <w:p>
      <w:r>
        <w:t>E-1059/2023 Seite 10 sich um eine schwerwiegende Verletzung handelt. Die Verfügung vom 24. Januar 2023 ist demnach aufzuheben. Hiermit werden die übrigen Be- schwerdebegehren gegenstandslos. Das SEM ist anzuweisen, dem Beschwerdeführer gemäss den vorstehen- den Erwägungen unter Abdeckung der geheim zu haltenden Stellen Ein- sicht sowohl in beide Botschaftsanfragen als auch in beide Botschaftsaus- künfte sowie Gelegenheit zur (erneuten) Stellungnahme hierzu zu gewäh- ren. Zudem hat es die entsprechenden Dokumente korrekt und vollständig in den Asylakten abzulegen. In der Folge wird es erneut über das Asylge- such zu entscheiden haben. Angesichts der Rückweisung der Sache erübrigt sich eine Auseinanderset- zung mit den weiteren Vorbringen auf Beschwerdeebene, weil das Be- schwerdedossier ebenfalls Gegenstand des wiederaufzunehmenden erst- instanzlichen Verfahrens sein und die Vorinstanz sich damit zu befassen haben wird.</w:t>
      </w:r>
    </w:p>
    <w:p>
      <w:r>
        <w:rPr>
          <w:b/>
        </w:rPr>
        <w:t>E. 9.1</w:t>
      </w:r>
    </w:p>
    <w:p>
      <w:r>
        <w:t>Bei diesem Ausgang des Verfahrens sind keine Kosten zu erheben (Art. 63 Abs. 1 und 2 VwVG). Die Gesuche um Gewährung der unentgelt- lichen Prozessführung und Verzicht auf die Erhebung eines Kostenvor- schusses werden mit dem vorliegenden Urteil gegenstandslos.</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1’575.– zuzusprechen. (Dispositiv nächste Seite)</w:t>
      </w:r>
    </w:p>
    <w:p>
      <w:r>
        <w:t>E-1059/2023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