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E-1051/2014 vom 16. September 2015</w:t>
      </w:r>
    </w:p>
    <w:p>
      <w:r>
        <w:t>Bundesverwaltungsgericht, 2015-09-16, DE</w:t>
      </w:r>
    </w:p>
    <w:p>
      <w:r>
        <w:rPr>
          <w:b/>
        </w:rPr>
        <w:t xml:space="preserve">Quelle: </w:t>
      </w:r>
      <w:r>
        <w:t>https://mcp.opencaselaw.ch/entscheid/bvger_E-1051_2014</w:t>
      </w:r>
    </w:p>
    <w:p>
      <w:r>
        <w:t>FR: TAF E-1051/2014 du 16 septembre 2015</w:t>
      </w:r>
    </w:p>
    <w:p>
      <w:r>
        <w:t>IT: TAF E-1051/2014 del 16 settembre 2015</w:t>
      </w:r>
    </w:p>
    <w:p>
      <w:pPr>
        <w:pStyle w:val="Heading2"/>
      </w:pPr>
      <w:r>
        <w:t>Regeste</w:t>
      </w:r>
    </w:p>
    <w:p>
      <w:r>
        <w:t>Asyl (ohne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unter Vorbehalt nachfolgender Erwägung (E. 1.3, 2. Abschnitt)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Vorab ist darauf hinzuweisen, dass die Anordnung der vorläufigen Aufnahme wegen Hängigkeit des Verfahrens noch nicht in Kraft getreten ist, da sie Folge und Ersatzmassnahme einer undurchführbaren Wegweisung ist, welche ihrerseits regelmässige Rechtsfolge der Asylverweigerung darstellt, und eine Begründung (Unzumutbarkeit) ohnehin nicht in Rechtskraft treten kann, weshalb der entsprechende Antrag abzuweisen ist. Weiter ist darauf hinzuweisen, dass die Vollzugshindernisse i.S. von Art. 83 Abs. 1 des Bundesgesetzes vom 16. Dezember 2005 über die Ausländerinnen und Ausländer (AuG, SR 142.20) alternativer Natur sind (vgl. BVGE 2009/51 E. 5.4). Folglich ist auf den Subeventualantrag auf Feststellung der Unzulässigkeit des Vollzugs nicht einzutreten, da die Beschwerdeführerin diesbezüglich kein schutzwürdiges Interesse geltend machen kann (Art. 25 Abs. 2 VwVG). Demzufolge bilden in materieller Hinsicht lediglich die Flüchtlingseigenschaft und die Gewährung des Asyls Gegenstand des vorliegenden Verfahrens. 2.1 Die formellen Rügen der Beschwerdeführerin sind vorab zu behandeln, da ihre berechtigte Erhebung allenfalls zur Aufhebung der vor-instanzlichen Verfügung führen könnte. Soweit sich die Beschwerde in diesem Zusammenhang in allgemeinen Ausführungen erschöpft, mithin keinen konkreten Bezug zur vorliegenden Beschwerdesache oder zur Person der Beschwerdeführerin hat, ist auf sie nicht weiter einzugehen. 2.2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Soweit die Beschwerdeführerin rügt, die Vorinstanz habe keine Einsicht in das erwähnte Aktenstück A13/1 (vgl. Bst. C) gewährt, mithin in ein verwaltungsinternes Aktenstück, in das praxisgemäss kein Anspruch auf Einsicht besteht, wurde die Rüge mit Zwischenverfügung vom 19. März 2014 abschliessend behandelt. Um unnötige Wiederholungen zu vermeiden, kann auf die betreffende Zwischenverfügung verwiesen werden. 2.3 Die Beschwerdeführerin rügt weiter, die Vorinstanz habe den Sachverhalt unvollständig und falsch festgestellt. Zudem habe sie ihre Abklärungs- und Begründungspflicht verletzt. Sie hätte vorab das Dossier ihrer Eltern würdigen sollen und eine weitere Anhörung oder eine Botschaftsabklärung durchführen müssen. In die vorinstanzliche Beurteilung seien insbesondere ihr Alter, ihr fehlendes Beziehungsnetz in Syrien, ihre kurdische Ethnie - sie habe in Syrien bis (...) als Ajnabi gegolten und deshalb Nachteile gewärtigt - ihre Aufenthaltsdauer und ihr Integrationsgrad in der Schweiz nicht einbezogen worden. Unerwähnt sei ebenfalls geblieben, dass ihr Vater politisch aktiv gewesen sei, er wiederholt Angehörige kurdischer Bewegungen bei sich zu Hause gehabt habe und deshalb von regimetreuen Nachbarn wiederholt bedroht worden sei, weshalb sie wegen ihm hätte verhaftet werden können und ihre Familie ein zerstörtes Haus habe zurücklassen müssen. Bis auf eine Tante lebten alle Familienangehörigen ausserhalb Syriens. Schliesslich hätte die Vorinstanz über die Verfolgungslage ihres Vaters im Bilde sein müssen, bevor sie sich anschicke, die Relevanz ihrer Reflexverfolgung zu beurteilen.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Gemäss konstanter Rechtsprechung muss ein Entscheid so abgefasst sein, dass der Betroffene ihn sachgerecht anfechten kann. Namentlich müssen die Überlegungen kurz genannt werden, von denen sich die Behörde leiten liess und auf die sie ihren Entscheid stützt (vgl. BVGE 2009/35 E. 6.4.1). Dies gilt nicht nur bezüglich der Entscheidungsgründe, sondern auch in Bezug auf die Wiedergabe des der Verfügung zugrundeliegenden Sachverhalts. Demnach braucht die Vorinstanz in der Verfügung nicht jedes einzelne, sondern nur die ausschlaggebenden Vorbringen der Beschwerdeführerin zu nennen. Es genügt auch, einzelne Vorbringen einzig im Rahmen der Würdigung anzuführen. Die Beschwerdeführerin substantiiert auf dem Hintergrund der Aktenlage nicht überzeugend, inwiefern der von der Vorinstanz als rechtserheblich festgestellte Sachverhalt unrichtig oder unvollständig erhoben und inwiefern eine weitere Neubeurteilung des Verfahrens im Einzelnen rechtswesentlich sein soll. Sie hat die Protokolle nach Rückübersetzungen in eine ihr geläufige Sprache vorbehaltlos unterzeichnet, weshalb sie bei ihren Aussagen zu behaften ist und sich falsche oder unterlassene Protokollierungen selber anzurechnen hat (vgl. Art. 7 Abs. 3 und Art. 8 Abs. 1 AsylG). Die Vorinstanz hat in den Anhörungen ihrem Persönlichkeitsprofil genügend Rechnung getragen. Die Rüge des ungenügend festgestellten rechtserheblichen Sachverhaltes erweist sich als nicht stichhaltig. Weiter besteht keine Verletzung der Begründungspflicht, wenn gewisse Sachverhaltsdetails nicht erwähnt werden, weil sie für den Ausgang des Verfahrens keine Bedeutung haben. Die durch die Vorinstanz gewürdigten Unterlagen stellen eine rechtsgenügende Basis für den Entscheid dar. Die Anträge auf weitergehende Abklärungen sind demzufolge abzuweisen. Die Anträge auf nachträgliche Orientierung und Einräumung einer Frist zur Beschwerdeergänzung, falls ihr N-Dossier nicht mit demjenigen ihrer Eltern verknüpft werde (vgl. Beschwerde S. 9, Art. 22), sind ebenfalls abzuweisen, weiss doch der in Asylangelegenheiten erfahrene Rechtsvertreter, dass erwachsene Kinder stets ihr eigenes N-Dossier erhalten und dass erst bei sachgerechten Gründen eine koordinierte Verfahrenserledigung erfolgt. Dabei ist zu erwähnen, dass der Rechtsvertreter die übrigen Familienangehörigen seit dem 14. Oktober 2013 vertritt. Folglich hätte er genügend Kenntnisse über die Verfahren der Familienangehörigen besessen und ausreichend Gelegenheit gehabt, triftige Begründungen für seine Anträge auf Koordination einzureichen, was er jedoch unterlassen hat (vgl. Art. 32 Abs. 2 VwVG). Es besteht demnach kein Anlass, die Verfahren der Angehörigen vorab zu entscheiden, wobei festzustellen ist, dass das Verfahren (...) den Bruder betreffend mit Abschreibungsbeschluss des BFM vom 28. Januar 2014 seinen Abschluss gefunden hat. Betreffend die Rüge der mangelhaften vorinstanzlichen Begründung ist ebenfalls keine Verletzung des Gehörsanspruchs zu erkennen: Die Vor-instanz hat sich auf die wesentlichen Aussagen konzentriert und die Verfügung rechtsgenügend begründet, zumal sie sich nicht mit jedem einzelnen Vorbringen auseinandersetzen muss und kann. Dass eine sachgerechte Anfechtung möglich war, zeigt die Beschwerde selbst. Weiter hat die Vorinstanz zur Unzumutbarkeit des Wegweisungsvollzugs ausdrücklich ausgeführt, dass der Vollzug der Wegweisung nach Syrien aufgrund der dortigen Sicherheitslage unzumutbar sei. Somit ist die Beschwerdeführerin in diesem Bereich nicht beschwert. Es kann auf E. 1.3, 2. Abschnitt, verwiesen werden. Auf die übrigen unbehelflichen Ausführungen in der Beschwerde ist nicht weiter einzugehen. 2.4 Zusammenfassend sind im Urteilszeitpunkt keine erheblichen Hinweise auf eine Verletzung des Gehörsanspruchs der Beschwerdeführerin, eine ungenügende Sachverhaltsfeststellung oder eine ungenügende Begründung erkennbar. Nach dem Gesagten besteht keine Veranlassung, den Entscheid der Vorinstanz aus formellen Gründen aufzuheben und die Sache zur Abklärung und Neubeurteilung zurückzuweisen.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führte die Vorinstanz im Asylpunkt im Wesentlichen aus, die Beschwerdeführerin habe in den Asylangaben keine gezielt gegen ihre Person gerichteten Verfolgungsmassnahmen geltend gemacht. Die wegen Verschollenheit ihres Vaters angeführten wirtschaftlichen Schwierigkeiten seien Nachteile, die auf die allgemeinen, politischen, wirtschaftlichen oder sozialen Lebensbedingungen in ihrem Heimatstaat zurückzuführen seien und stellten keine asylbeachtliche Verfolgung im Sinne von Art. 3 AsylG dar. Aus diesen Gründen vermöchten ihre Vorbringen den Anforderungen an die Asylrelevanz nicht zu genügen. Was die Beschwerdeführerin in der Beschwerdeschrift dagegen vorbringt, vermag das Gericht nicht zu überzeugen.</w:t>
      </w:r>
    </w:p>
    <w:p>
      <w:r>
        <w:rPr>
          <w:b/>
        </w:rPr>
        <w:t>E. 4.2</w:t>
      </w:r>
    </w:p>
    <w:p>
      <w:r>
        <w:t>So ist dem Rechtsvertreter zuzustimmen, wonach durch glaubhafte Berichte belegt ist, dass in Syrien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(vgl. dazu Urteil BVGer D-5779/2013 vom 25. Februar 2015 E. 5.7.2, m.w.H.). Das SEM hat jedoch zu Recht und mit zutreffender Begründung die Asylrelevanz der Vorbringen der Beschwerdeführerin verneint, da eine begründete Furcht vor gezielter Verfolgung ihrer Person in Syrien aus ihren Vorbringen nicht ableitbar ist: Bei ihrem neuesten Vorbringen, wegen des politisch aktiven Vaters mit Verhaftung, Misshandlung, mit ihrem Verschwindenlassen und als Kurdin mit weiteren Nachteilen (Polit- und Ethniemalus) rechnen zu müssen, handelt es sich um eine Schutzbehauptung. Insbesondere weist die Beschwerdeführerin als unbescholtene und politisch desinteressierte Person offenkundig nicht das Format einer Gegnerin des Regimes auf, die sie in den Fokus syrischer Behörden hätte rücken können. Es ist somit nicht von einem konkreten staatlichen Verfolgungsinteresse der syrischen Sicherheitskräfte auf ihre Person auszugehen, zumal sie im Rahmen ihrer BzP glaubhaft gemacht hat, keine Probleme mit syrischen Behörden oder Privatpersonen gehabt zu haben. Ausserdem sollen ihren Erstangaben zufolge hauptsächlich die Verschollenheit des Vaters, der Kriegszustand in Syrien, und damit einhergehend der ungesicherte finanzielle Rückhalt der Familie und die hiermit verbundenen unsicheren Perspektiven Anlass zur gemeinsamen Ausreise aus Syrien gewesen sein. Dass die Beschwerdeführerin wegen ihres in kurdischen Kreisen angeblich politisch tätigen Vaters verfolgt sein könnte, ist unrealistisch, weil hierfür konkrete Anzeichen fehlen. Somit ist unwahrscheinlich, dass die Beschwerdeführerin wegen ihres familiären Umfeldes Reflexverfolgung zu befürchten hat. Das Bestehen einer Kollektivverfolgung aller syrischen Kurden wird zwar vom Rechtsvertreter unterschwellig behauptet (Ethnie- und Politmalus für Kurden), aber im konkreten Fall nicht substanziiert begründet. Weiter ist dem eingereichten Reisepass der Beschwerdeführerin zu entnehmen, dass sie legal ausgereist ist, denn ihre letzten syrischen Aus- und türkischen Einreisestempel datieren je vom (...) 2012. Die Schlussfolgerungen der Vorinstanz sind weder in tatsächlicher noch in rechtlicher Hinsicht zu beanstanden. In der angefochtenen Verfügung begründet die Vorinstanz nachvollziehbar, weshalb die Beschwerdeführerin die Voraussetzungen für die Zuerkennung der Flüchtlingseigenschaft nicht erfüllt. Die Vorinstanz hat das Asylgesuch zu Recht abgelehnt.</w:t>
      </w:r>
    </w:p>
    <w:p>
      <w:r>
        <w:rPr>
          <w:b/>
        </w:rPr>
        <w:t>E. 5</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Die Wegweisung wurde zu Recht angeordnet (vgl. BVGE 2013/37 E.4.4; 2009/50 E. 9).</w:t>
      </w:r>
    </w:p>
    <w:p>
      <w:r>
        <w:rPr>
          <w:b/>
        </w:rPr>
        <w:t>E. 6</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im Hauptbegehren (Aufhebung der angefochtenen Verfügung), im Eventualbegehren (Feststellung der Flüchtlingseigenschaft und Asylgewährung) sowie im Subeventualbegehren (Anerkennung als Flüchtling im Rahmen der vorläufigen Aufnahme) abzuweisen. Auf das Begehren zur Feststellung der Unzulässigkeit des Wegweisungsvollzuges ist nicht einzutreten. Das Zusatzbegehren zum Hauptbegehren - Feststellung, dass die angefochtene Verfügung betreffend Unzumutbarkeit des Wegweisungsvollzugs in Rechtskraft erwachsen ist - ist mit dessen Abweisung gegenstandslos geworden. Zusammenfassend ist somit die Beschwerde abzuweisen, soweit sie nicht gegenstandslos geworden ist und darauf einzutreten ist.</w:t>
      </w:r>
    </w:p>
    <w:p>
      <w:r>
        <w:rPr>
          <w:b/>
        </w:rPr>
        <w:t>E. 8</w:t>
      </w:r>
    </w:p>
    <w:p>
      <w:r>
        <w:t>Bei diesem Ausgang des Verfahrens sind die Kosten von Fr. 600.- (Art. 1-3 des Reglements vom 21. Februar 2008 über die Kosten und Entschädigungen vor dem Bundesverwaltungsgericht [VGKE, SR 173.320.2]) der Beschwerdeführerin aufzuerlegen (Art. 63 Abs. 1 VwVG). Der am 1. März 2014 in gleicher Höhe einbezahlte Kostenvorschuss ist zur Bezahlung der Verfahrenskosten zu verwenden. Sie sind damit beglichen.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