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E-1044/2024 vom 26. Februar 2024</w:t>
      </w:r>
    </w:p>
    <w:p>
      <w:r>
        <w:t>Bundesverwaltungsgericht, 2024-02-26, DE</w:t>
      </w:r>
    </w:p>
    <w:p>
      <w:r>
        <w:rPr>
          <w:b/>
        </w:rPr>
        <w:t xml:space="preserve">Quelle: </w:t>
      </w:r>
      <w:r>
        <w:t>https://mcp.opencaselaw.ch/entscheid/bvger_E-1044_2024</w:t>
      </w:r>
    </w:p>
    <w:p>
      <w:r>
        <w:t>FR: TAF E-1044/2024 du 26 février 2024</w:t>
      </w:r>
    </w:p>
    <w:p>
      <w:r>
        <w:t>IT: TAF E-1044/2024 del 26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so auch vorliegend - endgültig (Art. 83 Bst. d Ziff. 1 BGG). Der Beschwerdeführer ist zur Beschwerde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w:t>
      </w:r>
    </w:p>
    <w:p>
      <w:r>
        <w:rPr>
          <w:b/>
        </w:rPr>
        <w:t>E. 4.1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 Die Zuständigkeit ergibt sich direkt aus Art. 18 Abs. 1 Bst. b-d beziehungsweise Art. 20 Abs. 5 Dublin-III-VO (vgl. statt vieler: Urteil des BVGer F-1959/2023 vom 19. April 2023 E. 3.2 m.w.H.).</w:t>
      </w:r>
    </w:p>
    <w:p>
      <w:r>
        <w:rPr>
          <w:b/>
        </w:rPr>
        <w:t>E. 4.2</w:t>
      </w:r>
    </w:p>
    <w:p>
      <w:r>
        <w:t>Ein Abgleich mit Eurodac ergab, dass der Beschwerdeführer am 3. Januar 2024 in Kroatien ein Asylgesuch eingereicht hat. Dass er sich dessen nicht bewusst gewesen sei, als er seine Fingerabdrücke gegeben habe, ändert daran nichts. Kommt hinzu, dass ein Mitgliedstaat auch dann für die Prüfung eines Antrags um internationalen Schutz zuständig ist, wenn die betreffende Person - ohne einen Asylantrag gestellt zu haben - illegal eingereist und erfasst worden ist (Art. 13 Abs. 1 Dublin-III-VO). Überdies stützt sich die Abnahme von Fingerabdrücken illegal einreisender ausländischer Personen und Asylsuchender auf Art. 14 Abs. 1 der Verordnung (EU) Nr. 603/2013 des Europäischen Parlaments und des Rates vom 26. Juni 2013 (Eurodac-Verordnung). Sodann haben die kroatischen Behörden der Wiederaufnahme des Beschwerdeführers zugestimmt. Die grundsätzliche Zuständigkeit Kroatiens ist damit gegeben. Aus Art. 16 Dublin-III-VO kann der Beschwerdeführer schon deshalb nichts zu seinen Gunsten ableiten, da die Beziehung zu seinem in der Schweiz lebenden Onkel nicht unter die in diesem Artikel aufgezählten familiäre Beziehungen fällt, in denen zwischen den Beteiligten ein Abhängigkeitsverhältnis bestehen muss.</w:t>
      </w:r>
    </w:p>
    <w:p>
      <w:r>
        <w:rPr>
          <w:b/>
        </w:rPr>
        <w:t>E. 5</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unter vielen: Urteile des BVGer F-773/2024 vom 13. Februar 2024 E. 7.3; F-80/2024 vom 17. Januar 2024 E. 7.2; D-7179/2023 vom 8. Januar 2024 E. 6.2; je mit Hinweisen auf das Referenzurteil des BVGer E-1488/2020 vom 22. März 2023 E. 9.5). Demnach sind Dublin-Überstellungen nach Kroatien grundsätzlich sowohl in «take-charge» (Aufnahme) als auch in «take-back» (Wiederaufnahme) Verfahren zulässig.</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6.2</w:t>
      </w:r>
    </w:p>
    <w:p>
      <w:r>
        <w:t>Bei der Beurteilung des Selbsteintritts gilt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6.3</w:t>
      </w:r>
    </w:p>
    <w:p>
      <w:r>
        <w:t>Im Vorbringen des Beschwerdeführers, die kroatische Polizei habe anlässlich eines Verkehrsunfalles versäumt, ihn über seine Rechte zu belehren und ihm ein Unfallprotokoll auszuhändigen, liegt kein konkretes Indiz dafür, dass bei einer Überstellung zwingende völkerrechtliche Bestimmungen verletzt würden. Auch erweist sich die geltend gemachte eintägige Festnahme nicht per se als unrechtmässig, war der Beschwerdeführer doch in einen Verkehrsunfall verwickelt und zudem illegal in Kroatien eingereist. Schliesslich kann den kroatischen Behörden auch nicht vorgeworfen werden, dass sie den Beschwerdeführer - unter Wahrung seiner Verfahrensrechte - noch nicht angehört hätten, zumal er das Camp bereits wenige Tage später verlassen habe. Mit seinen Ausführungen vermag er kein konkretes und ernsthaftes Risiko darzutun, die kroatischen Behörden würden in seinem Fall bei der Rückkehr ihren völkerrechtlichen Verpflichtungen nicht nachkommen. Es bestehen keine Gründe für die Annahme, er hätte keinen Zugang zu einem rechtsstaatlichen Asylverfahren und Kroatien werde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Auf die zutreffende Erwägung in der angefochtenen Verfügung und die entsprechenden Hinweise kann verwiesen werden. Soweit der Beschwerdeführer auf Beschwerdestufe vorbringt, er sei traumatisiert, ist festzustellen, dass er im Rahmen des Dublingespräches ausgesagt hatte, es gehe ihm gut, insbesondere auch psychisch. Unabhängig davon verfügt Kroatien - wie vom SEM ausführlich dargelegt - über eine ausreichende medizinische Infrastruktur, sodass er sich dort behandeln lassen könnte, sollte dies notwendig sein.</w:t>
      </w:r>
    </w:p>
    <w:p>
      <w:r>
        <w:rPr>
          <w:b/>
        </w:rPr>
        <w:t>E. 7</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w:t>
      </w:r>
    </w:p>
    <w:p>
      <w:r>
        <w:rPr>
          <w:b/>
        </w:rPr>
        <w:t>E. 8</w:t>
      </w:r>
    </w:p>
    <w:p>
      <w:r>
        <w:t>Das SEM ist demnach zu Recht auf das Asylgesuch des Beschwerdeführers nicht eingetreten und hat seine Wegweisung nach Kroatien angeordnet (Art. 31a Abs. 1 Bst. b AsylG und Art. 44 AsylG). Die angefochtene Verfügung erweist sich als rechtmässig (Art. 106 Abs. 1 AsylG) und die Beschwerde ist abzuweisen.</w:t>
      </w:r>
    </w:p>
    <w:p>
      <w:r>
        <w:rPr>
          <w:b/>
        </w:rPr>
        <w:t>E. 9</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unterliegenden Beschwerdeführer aufzuerlegen (Art. 63 Abs. 1 VwVG) und auf insgesamt (...) festzusetzen (Art. 1-3 des Reglements vom 21. Februar 2008 über die Kosten und Entschädigungen vor dem Bundesverwaltungsgericht [VGKE, SR 173.320.2]).</w:t>
      </w:r>
    </w:p>
    <w:p>
      <w:r>
        <w:rPr>
          <w:b/>
        </w:rPr>
        <w:t>E. 10</w:t>
      </w:r>
    </w:p>
    <w:p>
      <w:r>
        <w:t>Das Gesuch um Verzicht auf die Erhebung eines Kostenvorschusses sowie jenes um aufschiebende Wirkung erweisen sich mit vorliegendem Entscheid als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