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E-1042/2014 vom 18. Juli 2014</w:t>
      </w:r>
    </w:p>
    <w:p>
      <w:r>
        <w:t>Bundesverwaltungsgericht, 2014-07-18, DE</w:t>
      </w:r>
    </w:p>
    <w:p>
      <w:r>
        <w:rPr>
          <w:b/>
        </w:rPr>
        <w:t xml:space="preserve">Quelle: </w:t>
      </w:r>
      <w:r>
        <w:t>https://mcp.opencaselaw.ch/entscheid/bvger_E-1042_2014</w:t>
      </w:r>
    </w:p>
    <w:p>
      <w:r>
        <w:t>FR: TAF E-1042/2014 du 18 juillet 2014</w:t>
      </w:r>
    </w:p>
    <w:p>
      <w:r>
        <w:t>IT: TAF E-1042/2014 del 18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Der Hauptantrag auf Aufhebung der angefochtenen Verfügung und Rückweisung wegen mangelhafter Sachverhaltsabklärung - fälschlicherweise als Subeventualantrag bezeichnet - ist abzuweisen, da der relevante Sachverhalt zur Genüge erstellt ist.</w:t>
      </w:r>
    </w:p>
    <w:p>
      <w:r>
        <w:rPr>
          <w:b/>
        </w:rPr>
        <w:t>E. 5.1</w:t>
      </w:r>
    </w:p>
    <w:p>
      <w:r>
        <w:t>Die Vorinstanz kommt in der angefochtenen Verfügung zum Schluss, dass die Vorbringen des Beschwerdeführers den Anforderungen an die Glaubhaftigkeit gemäss Art. 7 AsylG nicht standhalten, weshalb ihre Asylrelevanz nicht geprüft werden müsse. Der Beschwerdeführer hat anlässlich der Beschwerde und der Replik indes plausible Erklärungen gegen die vorinstanzlichen Einwendungen vorbringen können. Bezüglich der mangelhaften Reisewegbeschreibung ist es etwa nachvollziehbar, dass infolge Unkenntnis der lateinischen Schrift nicht genau wahrgenommen werden konnte, welche Ortschaften passiert wurden. Was das Gericht am vorgebrachten Sachverhalt jedoch nicht überzeugt, ist die Behauptung, dass der Arbeitskollege des Beschwerdeführers an der Eingangstüre der Bar gehört haben will, wie die beiden Männer - nachdem sie den vergessen gegangenen Aktenkoffer in der Bar wieder abgeholt hatten - darüber sprachen, dass er und der Beschwerdeführer infolge des unbeaufsichtigten Verbleibs des Koffers in ihrem Zugriffsbereich und ihres merkwürdigen Verhaltens die problematischen Fotos wahrscheinlich gesehen hätten, somit ein Risiko darstellten und etwas dagegen unternommen werden müsse. Dieser Teil des Sachverhalts erscheint deshalb als konstruiert, weil die Annahme, die beiden Männer würden ihre Verdachtsmomente gegen den Beschwerdeführer und seinen Kollegen in deren unmittelbarer Nähe besprechen, nicht überzeugen kann. Es ist nicht plausibel anzunehmen, dass die beiden Männer mit ihrem Gespräch nicht zugewartet hätten, bis sie sich ausserhalb der möglichen Hörweite des Arbeitskollegen respektive des Bareingangs befunden haben. Es widerspricht der allgemeinen Erfahrung, dass man die allfällige Beseitigung eines lästigen mutmasslichen Mitwissers quasi vor dessen Haustüre bespricht. Es ist also vielmehr davon auszugehen, dass keine Drohung - weder eine direkte noch eine indirekte - gegen den Beschwerdeführer und seinen Kollegen ausgesprochen wurde. Dass der Beschwerdeführer durch die Geschehnisse an seinem Arbeitsort verängstigt ist, ist nachvollziehbar und es ist ein Stück weit verständlich, dass er in dieser Verunsicherung als unfreiwilliger Zeuge von Fotos mutmasslich krimineller Machenschaften noch einen hieb- und stichfesten Ausreisegrund schaffen wollte und deshalb eine entsprechende Drohung fingierte.</w:t>
      </w:r>
    </w:p>
    <w:p>
      <w:r>
        <w:rPr>
          <w:b/>
        </w:rPr>
        <w:t>E. 5.2</w:t>
      </w:r>
    </w:p>
    <w:p>
      <w:r>
        <w:t>Bezüglich des Vorbringens, zwei Männer in Polizeikleidung hätten sich nach der Ausreise bei der Verwandtschaft nach dem aktuellen Wohnort des Beschwerdeführers und seiner Mutter erkundigt und dabei angegeben, von einer Telekommunikationsfirma zu kommen, wie im Brief der Verwandten C._______ geschildert, hat die Vorinstanz in der Vernehmlassung zu Recht moniert, dass dieses Ereignis zeitlich nicht eingeordnet werden kann. Da der nachgereichte Brief nicht datiert ist und auch kein Zustellcouvert eingereicht wurde, hilft er in dieser Frage auch nicht weiter. Den Schilderungen des Beschwerdeführers ist lediglich zu entnehmen, dass sich der Vorfall zwischen September 2013 und Februar 2014 zugetragen haben muss, wahrscheinlich aber eher vor 2014. Es ist ungewöhnlich, dass ein solches Ereignis, das immerhin eine hohe Verfolgungsgefahr dokumentieren soll, seitens der Verwandten nicht datiert werden kann und der Beschwerdeführer seine Replik nicht dazu genutzt hat, die vorinstanzlich monierte Unklarheit in diesem für ihn wichtigen Punkt auszuräumen. Der Vorfall jedenfalls läge mehr als ein halbes Jahr - wahrscheinlich sogar zehn Monate - zurück und es sind dem Beschwerdeführer offensichtlich seither keine weiteren Nachforschungen über seinen Verbleib mehr zugetragen worden, womit allfällige Indizien für eine aktuelle Verfolgungsgefahr fehlen. Eine für den Bestreitungsfall beantragte Befragung von Frau C._______ ist nicht nötig, weil zum einen der Besuch der beiden Männer in Polizeikleidung vom Gericht nicht grundsätzlich bestritten wird, zum anderen jedoch seit mutmasslich mehr als einem halben Jahr keine weiteren Nachforschungen nach dem Beschwerdeführer mehr zu verzeichnen sind, eine Befragung in diesem Kontext somit keinen Sinn macht, weshalb der Beweisantrag über die Vernehmung von Frau C._______ abzulehnen ist. An dieser Einschätzung ändern auch die drei mit der Beschwerde und die zwei mit der Replik eingereichten Medienberichte zu Vorfällen in Armenien nichts.</w:t>
      </w:r>
    </w:p>
    <w:p>
      <w:r>
        <w:rPr>
          <w:b/>
        </w:rPr>
        <w:t>E. 5.3</w:t>
      </w:r>
    </w:p>
    <w:p>
      <w:r>
        <w:t>Zusammengefasst erfüllen die Vorbringen des Beschwerdeführers also die Anforderungen an den Flüchtlingsbegriff nicht, weil die glaubhaften Teile des geschilderten Sachverhalts keine asylrelevante Verfolgung erkennen lassen. Die Vorinstanz hat somit die Flüchtlingseigenschaft zu Recht verneint und das Asylgesuch abgelehnt.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Entgegen seinen Ausführungen ergeben sich nach den erfolgten Erwägungen und aufgrund der Akten keine konkrete Anhaltspunkte dafür, dass er für den Fall einer Ausschaffung nach Armenien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Armenien herrscht keine Situation allgemeiner Gewalt, weshalb in konstanter Praxis von der generellen Zumutbarkeit des Wegweisungsvollzugs dorthin ausgegangen wird (vgl. statt vieler Urteil des BVGer D-1068/2012 vom 30. April 2012). Beim Beschwerdeführer handelt es sich um einen jungen gesunden Mann mit guter Bildung. Den Akten lässt sich entnehmen, dass er über eine grosse und gut vernetzte Familie verfügt, welche ihn bei seiner Rückkehr im Heimatland unterstützen kann. Aufgrund der Tatsache, dass sich die krebskranke Mutter des Beschwerdeführers in einem schweizerischen Palliativspital in Behandlung befindet, hat die Vorinstanz dem Beschwerdeführer eine Verlängerung der Ausreisefrist in Aussicht gestellt. Er kann ein entsprechendes schriftlich begründetes Gesuch einreichen. Der Vollzug der Wegweisung des Beschwerdeführers ist demnach zumutbar.</w:t>
      </w:r>
    </w:p>
    <w:p>
      <w:r>
        <w:rPr>
          <w:b/>
        </w:rPr>
        <w:t>E. 7.4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7.5</w:t>
      </w:r>
    </w:p>
    <w:p>
      <w:r>
        <w:t>Die Vorinstanz hat den Vollzug demnach zu Recht als zulässig, zumutbar und möglich bezeichnet. Damit fällt die Anordnung einer vorläufigen Aufnahme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Beschwerdeführer aufzuerlegen (Art. 63 Abs. 1 und 5 VwVG). Mit Zwischenverfügung vom 18. März 2014 wurde ihm jedoch die unentgeltliche Prozessführung gewährt. Deshalb sind keine Verfahrenskosten zu erheben. Gleichzeitig wurde Rechtsanwalt Dieter Gysin als amtlicher Rechtsbeistand eingesetzt. Der Rechtsbeistand hat das Einreichen einer Kostennote lediglich beantragt, ohne eine solche einzureichen, weshalb das Honorar aufgrund der Akten festzulegen ist (Art. 14 Abs. 2 VGKE). Aufgrund des zuverlässig abschätzbaren Aufwandes und in Anwendung der massgeblichen Bemessungsfaktoren (vgl. Art. 8 ff. VGKE) ist dem Rechtsbeistand ein Betrag von Fr. 3'600.-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