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E-1039/2024 vom 12. Januar 2024</w:t>
      </w:r>
    </w:p>
    <w:p>
      <w:r>
        <w:t>Bundesverwaltungsgericht, 2024-01-12, DE</w:t>
      </w:r>
    </w:p>
    <w:p>
      <w:r>
        <w:rPr>
          <w:b/>
        </w:rPr>
        <w:t xml:space="preserve">Quelle: </w:t>
      </w:r>
      <w:r>
        <w:t>https://mcp.opencaselaw.ch/entscheid/bvger_E-1039_2024_d20240112</w:t>
      </w:r>
    </w:p>
    <w:p>
      <w:r>
        <w:t>FR: TAF E-1039/2024 du 12 janvier 2024</w:t>
      </w:r>
    </w:p>
    <w:p>
      <w:r>
        <w:t>IT: TAF E-1039/2024 del 12 gennaio 2024</w:t>
      </w:r>
    </w:p>
    <w:p>
      <w:pPr>
        <w:pStyle w:val="Heading2"/>
      </w:pPr>
      <w:r>
        <w:t>Regeste</w:t>
      </w:r>
    </w:p>
    <w:p>
      <w:r>
        <w:t>Asyl und Wegweisung | Asyl und Wegweisung; Verfügung des SEM vom 12. Januar 2024</w:t>
      </w:r>
    </w:p>
    <w:p>
      <w:pPr>
        <w:pStyle w:val="Heading2"/>
      </w:pPr>
      <w:r>
        <w:t>Erwägungen</w:t>
      </w:r>
    </w:p>
    <w:p>
      <w:r>
        <w:rPr>
          <w:b/>
        </w:rPr>
        <w:t>E. 9</w:t>
      </w:r>
    </w:p>
    <w:p>
      <w:r>
        <w:t>Juli 2025 E.3.1, 253/2024 vom 17. April 2025 E. 8.4. m.H.w.), dass die von der Vorinstanz vorgenommene Beweiswürdigung damit – ent- gegen der in der Beschwerde vertretenen Ansicht – nicht zu beanstanden ist, dass im Sinne einer Ergänzung festzuhalten ist, dass gemäss Rechtspre- chung des Bundesverwaltungsgerichts allein der Umstand, dass Strafver- fahren wegen Präsidentenbeleidigung und/oder Terrorpropaganda gegen eine asylsuchende Person hängig sind, noch nicht zur Annahme begrün- deter Furcht vor flüchtlingsrechtlich relevanter Verfolgung führt, dass nach gerichtlicher Erkenntnis die Wahrscheinlichkeit einer späteren Verurteilung durch ein türkisches Gericht sehr tief ist und einer solchen auch nicht in genereller Weise ein Politmalus zugrunde liegt (vgl. Referenz- urteil des BVGer E-4103/2024 vom 8. November 2024 E. 8), wobei auf- grund des vorstehend Ausgeführten nicht mehr vertieft darauf einzugehen ist, ob bei den Beschwerdeführenden diesbezüglich Risikofaktoren beste- hen, welche im konkreten Fall auf eine erhöhte Gefahr flüchtlingsrechtlich motivierter Bestrafung schliessen lassen könnten, dass bei dieser Ausgangslage auch nicht mehr weiter auf von der Vo- rinstanz aufgeworfene und in der Rechtsmitteleingabe bestrittene Unglaub- haftigkeitselemente (z.B. Vormandatierung Rechtsvertreter sowie geltend gemachte Falschübersetzung von Dokumenten) einzugehen ist,</w:t>
      </w:r>
    </w:p>
    <w:p>
      <w:r>
        <w:t>E-1039/2024 Seite 7 dass – unter anderem auch aufgrund des bereits Ausgeführten – nicht da- von auszugehen ist, die Beschwerdeführenden seien wegen den geltend gemachten exilpolitischen Tätigkeiten, namentlich Internetaktivitäten sowie Teilnahme an Kundgebungen, in flüchtlingsrechtlich relevanter Weise ge- fährdet, dass die Vorinstanz die Flüchtlingseigenschaft der Beschwerdeführenden im Ergebnis zu Recht verneint und ihre Asylgesuche abgelehnt hat, dass im Falle der Ablehnung des Asylgesuchs in der Regel die Wegwei- sung aus der Schweiz sowie der Vollzug anzuordnen sind (Art. 44 AsylG), sofern nicht wegen Unzulässigkeit, Unzumutbarkeit oder Unmöglichkeit des Wegweisungsvollzuges die vorläufige Aufnahme anzuordnen ist (Art. 83 Abs. 1–4 AIG [SR 142.20]), dass die Beschwerdeführenden in der Rechtsmitteleingabe das Vorliegen von Wegweisungsvollzugshindernissen allein damit begründen, der Be- schwerdeführer werde bei seiner Rückkehr verhaftet, womit es ihnen in dieser pauschalen Form – auch mit Blick auf das vorstehend Ausgeführte – nicht gelingt, solches glaubhaft darzulegen (zum diesbezüglichen Be- weismass vgl. BVGE 2011/24 E. 10.2 m.w.H.), dass die mittlerweile 15 beziehungsweise neun Jahre alten Kinder gemäss den Akten hier in der Schweiz eingeschult worden sind und sie prägende Lebensjahre in der Schweiz verbracht haben, dass indes davon ausgegangen werden kann, dass ihre Reintegration in dem Land, in welchem sie geboren wurden und die ersten Lebensjahre verbrachten, mit den zumutbaren Anstrengungen gelingen wird, zumal sie Sprache und Kultur auch zufolge des Zusammenlebens mit den Eltern – ihren primären Bezugspersonen – während des Aufenthaltes in der Schweiz weitergepflegt haben dürften, dass der Rechtsmitteleingabe auch nichts zu entnehmen ist, was dem wi- dersprechen könnte, womit dem Wegweisungsvollzug auch unter dem Ge- sichtspunkt des vorrangig zu berücksichtigenden Kindeswohles (vgl. Art. 3 des Übereinkommens vom 20. November 1989 über die Rechte des Kin- des KRK, SR 0.107) nichts entgegensteht, dass damit keine Wegweisungsvollzugshindernisse dargelegt sind und diesbezüglich auf die zutreffenden Ausführungen der Vorinstanz verwiesen werden kann, wonach die Beschwerdeführenden sehr gut ausgebildet</w:t>
      </w:r>
    </w:p>
    <w:p>
      <w:r>
        <w:t>E-1039/2024 Seite 8 sind, über Arbeitserfahrungen, ein eigenes Haus sowie ein weitreichendes Verwandtschaftsnetz verfügen, dass die Vorinstanz den Wegweisungsvollzug zu Recht als zulässig, zu- mutbar und möglich bezeichnet, eine Anordnung der vorläufigen Aufnahme fällt somit ausser Betracht (Art. 83 Abs. 1–4 AIG), mithin der entspre- chende Eventualabtrag abzuweisen ist, dass die angefochtene Verfügung Bundesrecht nicht verletzt, den rechts- erheblichen Sachverhalt richtig sowie vollständig feststellt (Art. 106 Abs. 1 AsylG) und – soweit diesbezüglich überprüfbar – angemessen ist, dass die Beschwerde abzuweisen ist, dass bei diesem Ausgang des Verfahrens die Verfahrenskosten den Be- schwerdeführenden aufzuerlegen (Art. 63 Abs. 1 VwVG) und auf Fr. 750.– festzusetzen sind (Art. 1–3 des Reglements vom 21. Februar 2008 über die Kosten und Entschädigungen vor dem Bundesverwaltungsgericht [VGKE; SR 173.320.2]), wobei der am 8. März 2024 geleistete Kostenvor- schuss in gleicher Höhe zur Bezahlung der Verfahrenskosten zu verwen- den ist.</w:t>
      </w:r>
    </w:p>
    <w:p>
      <w:r>
        <w:t>(Dispositiv nächste Seite)</w:t>
      </w:r>
    </w:p>
    <w:p>
      <w:r>
        <w:t>E-1039/2024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