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E-1035/2017 vom 9. März 2017</w:t>
      </w:r>
    </w:p>
    <w:p>
      <w:r>
        <w:t>Bundesverwaltungsgericht, 2017-03-09, DE</w:t>
      </w:r>
    </w:p>
    <w:p>
      <w:r>
        <w:rPr>
          <w:b/>
        </w:rPr>
        <w:t xml:space="preserve">Quelle: </w:t>
      </w:r>
      <w:r>
        <w:t>https://mcp.opencaselaw.ch/entscheid/bvger_E-1035_2017</w:t>
      </w:r>
    </w:p>
    <w:p>
      <w:r>
        <w:t>FR: TAF E-1035/2017 du 9 mars 2017</w:t>
      </w:r>
    </w:p>
    <w:p>
      <w:r>
        <w:t>IT: TAF E-1035/2017 del 9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der vorliegenden Beschwerde bilden der Asylpunkt, die Flüchtlingseigenschaft des Beschwerdeführers und die Wegweisung. Der Vollzug der Wegweisung wurde zu Gunsten einer vorläufigen Aufnahme aufgeschoben.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kommt in der angefochtenen Verfügung zum Schluss, die Vorbringen des Beschwerdeführers würden den Anforderungen an die Flüchtlingseigenschaft gemäss Art. 3 AsylG nicht standhalten. Alleine der Umstand, dass er sich vor der Einberufung in den Militärdienst fürchte, vermöge gemäss ständiger Praxis keine Furcht vor asylrelevanter Verfolgung zu begründen. Die vorgebrachten Schikanen aufgrund seines kurdischen Namens würden keine asylrechtlich relevante Intensität erreichen.</w:t>
      </w:r>
    </w:p>
    <w:p>
      <w:r>
        <w:rPr>
          <w:b/>
        </w:rPr>
        <w:t>E. 4.2</w:t>
      </w:r>
    </w:p>
    <w:p>
      <w:r>
        <w:t>Der Beschwerdeführer wendet dagegen ein, entgegen der Einschätzung der Vorinstanz sei er der Meinung, dass seine Vorbringen zum Militärdienst asylrechtlich relevant seien. Alle syrischen Staatsbürger seien verpflichtet Militärdienst zu leisten. Er sei sogar schon aufgefordert worden, sich ein Militärbüchlein ausstellen zu lassen. Es sei selten, dass junge Männer vom Dienst befreit werden würden. Vor diesem Hintergrund müsse davon ausgegangen werden, dass er mit grosser Wahrscheinlichkeit als diensttauglich eingestuft und mobilisiert worden wäre. Durch seine Ausreise habe er sich dem Militärdienst entzogen. Somit hätte er im Falle einer Rückkehr mit einer durch Art. 3 EMRK verbotenen Strafe oder Behandlung zu rechnen, da er als politischer Gegner angesehen werde.</w:t>
      </w:r>
    </w:p>
    <w:p>
      <w:r>
        <w:rPr>
          <w:b/>
        </w:rPr>
        <w:t>E. 4.3</w:t>
      </w:r>
    </w:p>
    <w:p>
      <w:r>
        <w:t>Die vorinstanzlichen Schlussfolgerungen sind weder in tatsächlicher noch in rechtlicher Hinsicht zu beanstanden. Die Vorinstanz führt in der angefochtenen Verfügung eingehend aus, warum die Vorbringen des Beschwerdeführers nicht asylrelevant sind. So ist nicht davon auszugehen, der Beschwerdeführer habe sich in Syrien der Wehrdienstverweigerung schuldig gemacht. In seinem Urteil D-5018/2015 vom 26. Oktober 2015 hält das Bundesverwaltungsgericht fest, selbst wenn ein Beschwerdeführer eine Vorladung zur Einberufung zum Militärdienst erhalte, könne allein aus diesem Umstand nicht auf eine flüchtlingsrechtlich relevante Gefährdung geschlossen werden. Ferner würden Auskünfte vorliegen, dass die Regierungstruppen auf die Rekrutierung kurdischstämmiger Männer zurzeit weitgehend verzichten, um Spannungen mit den kurdischen Truppen zu vermeiden. Da die Position der syrischen Armee geschwächt sei, verzichte man auf eine Konfrontation mit der YPG (Urteil D-5018/2015 E. 5.2 und Danish Immigration Service, Syria: Military Service, Mandatory Self-Defence Duty and Recruitment to the YPG, 26. Februar 2015, § 2.2, S. 15). Das Risiko einer Rekrutierung durch die syrische Armee ist aus diesen Gründen als gering einzuschätzen. Da der Beschwerdeführer lediglich aufgefordert wurde, sich beim Rekrutierungsbüro zu melden und noch nicht einmal über ein Dienstbüchlein verfügt, ist umso weniger von einer asylrelevanten Verfolgung auszugehen, weshalb der Schlussfolgerung der Vorinstanz, es fehle diesem Vorbringen an Asylrelevanz, zu folgen ist. Aus dem eingereichten militärischen Aufgebot sowie den Kopien des N-Ausweises und des Militärbüchleins seines Bruders kann er nichts zu seinen Gunsten ableiten. Bezüglich der erlittenen Schikanen aufgrund seines Namens ist auf die zutreffenden Erwägungen in der angefochtenen Verfügung zu verweisen. Diese sind ebenfalls nicht asylrelevant.</w:t>
      </w:r>
    </w:p>
    <w:p>
      <w:r>
        <w:rPr>
          <w:b/>
        </w:rPr>
        <w:t>E. 4.4</w:t>
      </w:r>
    </w:p>
    <w:p>
      <w:r>
        <w:t>Zusammenfassend ist festzuhalten, dass die Vorinstanz die Flüchtlingseigenschaft des Beschwerdeführers zu Recht verneint und sein Asylgesuch abgewiesen hat.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