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E-1034/2021 vom 30. März 2021</w:t>
      </w:r>
    </w:p>
    <w:p>
      <w:r>
        <w:t>Bundesverwaltungsgericht, 2021-03-30, DE</w:t>
      </w:r>
    </w:p>
    <w:p>
      <w:r>
        <w:rPr>
          <w:b/>
        </w:rPr>
        <w:t xml:space="preserve">Quelle: </w:t>
      </w:r>
      <w:r>
        <w:t>https://mcp.opencaselaw.ch/entscheid/bvger_E-1034_2021</w:t>
      </w:r>
    </w:p>
    <w:p>
      <w:r>
        <w:t>FR: TAF E-1034/2021 du 30 mars 2021</w:t>
      </w:r>
    </w:p>
    <w:p>
      <w:r>
        <w:t>IT: TAF E-1034/2021 del 30 marzo 2021</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6 AsylG und Art. 52 Abs. 1 VwVG) ist - unter Vorbehalt von E. 4 -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Soweit der Beschwerdeführer beantragt, der Mutter seiner Kinder sei eine Einreisebewilligung zu erteilen und die Familienzusammenführung zu bewilligen, ist festzuhalten, dass er in seinem Gesuch vom 11. Februar 2020 nur um Bewilligung der Familienzusammenführung für seine beiden Töchter ersuchte. Der erst im Beschwerdeverfahren gestellte Antrag stellt demnach eine unzulässige Erweiterung des Streitgegenstands dar, weshalb darauf nicht einzutreten ist.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 wie vorliegend -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ist ihre Einreise auf Gesuch hin zu bewilligen (Art. 51 Abs. 4 AsylG).</w:t>
      </w:r>
    </w:p>
    <w:p>
      <w:r>
        <w:rPr>
          <w:b/>
        </w:rPr>
        <w:t>E. 6.2</w:t>
      </w:r>
    </w:p>
    <w:p>
      <w:r>
        <w:t>Die Erteilung einer Einreisebewilligung nach Art. 51 Abs. 4 AsylG setzt gemäss konstanter Rechtsprechung eine zum Zeitpunkt der Flucht vorbestandene Familiengemeinschaft, die Trennung der Familie durch die Flucht sowie die fest beabsichtigte Familienvereinigung in der Schweiz voraus (BVGE 2012/32 E. 5).</w:t>
      </w:r>
    </w:p>
    <w:p>
      <w:r>
        <w:rPr>
          <w:b/>
        </w:rPr>
        <w:t>E. 7.1</w:t>
      </w:r>
    </w:p>
    <w:p>
      <w:r>
        <w:t>Die Vorinstanz gelangt in der angefochtenen Verfügung zum Schluss, es würden keine Wiedererwägungsgründe vorliegen. Es seien den Akten nach wie vor keine Hinweise zu entnehmen, dass der Beschwerdeführer vor seiner Flucht aus Eritrea mit seiner Tochter B._______ in einer Familiengemeinschaft gelebt habe. Auch nach entsprechender Aufforderung habe er kaum Informationen über das Zusammenleben mit B._______ ausserhalb der Militärzeit preisgegeben. Als Beweismittel habe er nur zwei Fotos eingereicht, welche aus der Zeit vor seiner Flucht aus Eritrea zu stammen scheinen. Die schlechte Qualität der Fotos erschwere jedoch die Identifizierung der Personen. Auch der Kontext, indem die Fotos aufgenommen worden seien, sei unklar. Der Beschwerdeführer bestreite sodann nicht, von der Existenz seiner Tochter C._______ erst im Jahr 2008 erfahren zu haben. Ferner sei festzustellen, dass der Beschwerdeführer seit 16 Jahren von seinen Töchtern getrennt lebe und gemäss eigenen Angaben während vier Jahren nach seiner Flucht aus Eritrea keinen Kontakt mit ihnen gehabt habe. Trotz entsprechender Aufforderung habe er sich dazu nicht weiter geäussert. Im Anhang des Schreibens vom 18. August 2018 (recte: 18. August 2020) habe er zwei Fotos eingereicht, auf welchen er zusammen mit B._______ und C._______ abgebildet sei, was nahelege, dass er seine Töchter einmal nach seiner Flucht aus Eritrea besucht habe. Die Fotos sowie die Bestätigungen von Geldüberweisungen, welche alle aus dem Jahr 2020 stammen würden, seien jedoch nicht ausreichend, um die Aufrechterhaltung von Kontakten über einen so langen Zeitraum zu belegen. Der Beschwerdeführer habe demnach weder das Bestehen einer tatsächlich gelebten und dauerhaften Familiengemeinschaft in Eritrea, noch deren Aufrechterhaltung nach der Flucht glaubhaft machen können, selbst wenn die Zeit, in der er sich im Militärdienst befunden habe und die Unmöglichkeit der direkten Kontaktaufnahme nach der Flucht berücksichtigt werde. Die Voraussetzungen von Art. 51 Abs. 1 und Abs. 4 AsylG seien demnach nach wie vor nicht erfüllt. Die Frage, ob eine Familienzusammenführung im Interesse der Kinder sei - auch wenn deren Mutter damit einverstanden wäre - könne damit offenbleiben.</w:t>
      </w:r>
    </w:p>
    <w:p>
      <w:r>
        <w:rPr>
          <w:b/>
        </w:rPr>
        <w:t>E. 7.2</w:t>
      </w:r>
    </w:p>
    <w:p>
      <w:r>
        <w:t>In der Rechtmitteleingabe macht der Beschwerdeführer geltend, von 1997 bis 2004 habe er Militärdienst geleistet. Im Jahr 2000 habe er die Mutter seine Töchter kennengelernt. Nach der Geburt seiner älteren Tochter B._______ habe er diese und seine Partnerin einmal pro Woche besuchen können. Eine Familiengemeinschaft habe demnach trotz seiner militärdienstbedingten Abwesenheit bestanden. Von der Existenz seiner zweiten Tochter C._______ habe erst im Jahr 2008 erfahren, da er nach seiner Ausreise während vier Jahren keinen Kontakt mit seiner Partnerin gehabt habe. Seither habe er die Beziehung zu seinen Töchtern intensiviert und überweise ihnen regelmässig Geld.</w:t>
      </w:r>
    </w:p>
    <w:p>
      <w:r>
        <w:rPr>
          <w:b/>
        </w:rPr>
        <w:t>E. 8.1</w:t>
      </w:r>
    </w:p>
    <w:p>
      <w:r>
        <w:t>Der Beschwerdeführer begründet sein Gesuch um erneute Familienzusammenführung im Wesentlichen mit der Veränderung seiner finanziellen Situation und bringt vor, er habe seit August 2017 eine unbefristete Anstellung und überweise seinen Töchtern regelmässig Geld. Als Beleg dafür reichte er seinen Arbeitsvertrag, mehrere Lohnabrechnungen, Bestätigungen von Geldüberweisung aus dem Jahr 2020 und diverse Fotos ein. Die Vorinstanz führte in der angefochtenen Verfügung zutreffend aus, die Belege von Geldüberweisungen aus dem Jahr 2020 und die Fotos seien nicht ausreichend, um eine seit der Flucht des Beschwerdeführers im Jahr 2004 aufrechterhaltene Beziehung zu seinen beiden Töchtern glaubhaft zu machen. Der Beschwerdeführer substantiiert denn auch weder in den zahlreichen Eingaben - trotz entsprechender Aufforderung der Vorinstanz - noch in der Beschwerde, wie er den Kontakt mit seinen Töchtern nach seiner Ausreise aus Eritrea im Jahr 2004 aufrechterhalten hat. Ebenso wenig legt er dar, wann und unter welchen Umständen die Fotos, die ihn zusammen mit seinen Töchtern zeigen, aufgenommen wurden. Der Beschwerdeführer kann demnach nicht glaubhaft machen, dass er die familiären Bindungen zu seinen Töchtern nach der Flucht ununterbrochen aufrechterhalten hat (vgl. BVGE 2018 VI/6), womit bereits eine der kumulativ zu erfüllenden Voraussetzungen von Art. 51 Abs. 1 und Abs. 4 nicht erfüllt ist.</w:t>
      </w:r>
    </w:p>
    <w:p>
      <w:r>
        <w:rPr>
          <w:b/>
        </w:rPr>
        <w:t>E. 8.2</w:t>
      </w:r>
    </w:p>
    <w:p>
      <w:r>
        <w:t>Soweit der Beschwerdeführer geltend macht, er habe vor seiner Flucht trotz Abwesenheiten aufgrund seiner Militärdienstpflicht in einer Familiengemeinschaft mit seiner älteren Tochter B._______ gelebt und von der Existenz seiner jüngeren Tochter C._______ erst im Jahr 2008 erfahren, ist darauf hinzuweisen, dass er im Wesentlichen dasselbe wie im ordentlichen Verfahren vorbringt. Der Sinn der Wiedererwägung ist jedoch nicht die erneute rechtliche Würdigung eines bereits hinlänglich erstellten und endgültig beurteilten Sachverhalts (vgl. Entscheidungen und Mitteilungen der Schweizerischen Asylrekurskommission [EMARK] 1999 Nr. 4 E. 5a S. 24 f.) und dient insbesondere nicht dazu, eine verpasste Beschwerdefrist zu ersetzen (vgl. EMARK 2000 Nr. 24 E. 3b S. 217 f.). Es ist unzulässig, ein rechtskräftig abgeschlossenes Verfahren unter dem Titel eines Wiedererwägungsgesuchs faktisch zu wiederholen, indem die rechtliche Beurteilung der verfügenden Behörde (erneut) in Frage gestellt wird (vgl. Urteile des BVGer D-6630/2016 vom 2. November 2016 E. 7.1 und D-5989/2013 vom 30. Oktober 2013 E. 7.1). Dem Beschwerdeführer steht es - wie bereits die Vorinstanz im Schreiben vom 20. Mai 2020 ausgeführt hat - frei, bei der kantonalen Behörde ein Gesuch um Familiennachzug nach den Bestimmungen des Ausländer- und Integrationsgesetzes (AIG; SR 142.20) einzureichen.</w:t>
      </w:r>
    </w:p>
    <w:p>
      <w:r>
        <w:rPr>
          <w:b/>
        </w:rPr>
        <w:t>E. 8.3</w:t>
      </w:r>
    </w:p>
    <w:p>
      <w:r>
        <w:t>Zusammenfassend liegen keine Wiedererwägungsgründe vor, weshalb die Vorinstanz das Gesuch um Wiedererwägung der Verfügung vom 13. September 2011 zu Recht abgewiesen hat. Die Beschwerde ist abzuweisen, soweit darauf einzutreten ist.</w:t>
      </w:r>
    </w:p>
    <w:p>
      <w:r>
        <w:rPr>
          <w:b/>
        </w:rPr>
        <w:t>E. 9.1</w:t>
      </w:r>
    </w:p>
    <w:p>
      <w:r>
        <w:t>Der Beschwerdeführer beantragt die Gewährung der unentgeltlichen Prozessführung und amtlichen Verbeiständung. Aufgrund der vorstehenden Erwägungen ergibt sich, dass seine Begehren als aussichtlos zu gelten haben, womit eine der kumulativ zu erfüllenden Voraussetzungen gemäss Art. 65 Abs. 1 und Abs. 2 VwVG nicht gegeben ist. Die Gesuche sind demnach abzuweisen.</w:t>
      </w:r>
    </w:p>
    <w:p>
      <w:r>
        <w:rPr>
          <w:b/>
        </w:rPr>
        <w:t>E. 9.2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