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E-1033/2016 vom 7. Dezember 2016</w:t>
      </w:r>
    </w:p>
    <w:p>
      <w:r>
        <w:t>Bundesverwaltungsgericht, 2016-12-07, DE</w:t>
      </w:r>
    </w:p>
    <w:p>
      <w:r>
        <w:rPr>
          <w:b/>
        </w:rPr>
        <w:t xml:space="preserve">Quelle: </w:t>
      </w:r>
      <w:r>
        <w:t>https://mcp.opencaselaw.ch/entscheid/bvger_E-1033_2016</w:t>
      </w:r>
    </w:p>
    <w:p>
      <w:r>
        <w:t>FR: TAF E-1033/2016 du 7 décembre 2016</w:t>
      </w:r>
    </w:p>
    <w:p>
      <w:r>
        <w:t>IT: TAF E-1033/2016 del 7 dicembre 2016</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Be-schwerdeführenden sind als Verfügungsadressaten zur Beschwerdefüh-rung legitimiert (Art. 48 Abs. 1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w:t>
      </w:r>
    </w:p>
    <w:p>
      <w:r>
        <w:rPr>
          <w:b/>
        </w:rPr>
        <w:t>E. 3.1</w:t>
      </w:r>
    </w:p>
    <w:p>
      <w:r>
        <w:t>Die Vorinstanz lehnte das Asylgesuch der Beschwerdeführenden ab, da ihre Vorbringen den Anforderungen an die Flüchtlingseigenschaft gemäss Art. 3 AsylG nicht standhielten. Zwischen den Benachteiligungen als Ajanib und der Ausreise des Beschwerdeführers bestehe kein enger zeitlicher und sachlicher Zusammenhang. Zudem sei er im Sommer 2011 eingebürgert worden. Die zweifelsohne belastenden Auswirkungen des Bürgerkriegs würden indes keine Verfolgung im Sinne des Asylgesetzes darstellen.</w:t>
      </w:r>
    </w:p>
    <w:p>
      <w:r>
        <w:rPr>
          <w:b/>
        </w:rPr>
        <w:t>E. 3.2</w:t>
      </w:r>
    </w:p>
    <w:p>
      <w:r>
        <w:t>In der Rechtsmitteleingabe machen die Beschwerdeführenden unter anderem geltend, ihre Situation müsse im familiären Kontext betrachtet werden. Der Beschwerdeführer stamme aus einer politisch aktiven Familie, deren Mitglieder aufgrund oppositioneller Tätigkeiten ins Visier der syrischen Behörden geraten seien. Der Vater des Beschwerdeführers und eine Schwester seien Mitglieder der Partiya Demokrata Kurdistan - Sûriya (PDK-S) und ein Bruder ein aktives Mitglied einer Studentenorganisation gewesen. Vor diesem Hintergrund bestehe eine tatsächliche Verfolgungsgefahr für den Beschwerdeführer, welche als Reflexverfolgung im Sinne von Art. 3 AsylG zu gelten habe. Damit rügen die Beschwerdeführenden sinngemäss, die Vorinstanz habe den Sachverhalt nicht vollständig abgeklärt und somit ihren Anspruch auf rechtliches Gehör verletzt.</w:t>
      </w:r>
    </w:p>
    <w:p>
      <w:r>
        <w:rPr>
          <w:b/>
        </w:rPr>
        <w:t>E. 4.1</w:t>
      </w:r>
    </w:p>
    <w:p>
      <w:r>
        <w:t>Der mit Grundrechtsqualität ausgestattete Grundsatz des rechtlichen Gehörs fordert, dass die verfügende Behörde die Vorbringen der Betroffenen tatsächlich hört, sorgfältig und ernsthaft prüft und in der Entscheidfindung berücksichtigt, was sich entsprechend in einer sachgerecht anfechtbaren Entscheidbegründung niederzuschlagen hat (vgl. BVGE 2015/10, E. 3.3, m.w.H.). Dem Bundesverwaltungsgericht obliegt gemäss Art. 49 Bst. b VwVG (beziehungsweise Art. 106 Abs. 1 Bst. b AsylG) eine umfassende Sachverhaltskontrolle (vgl. Moser/Beusch/Kneubühler, Prozessieren vor dem Bundesverwaltungsgericht, 2. Aufl. 2013, Rz. 2.188). Ermittelt das Bundesverwaltungsgericht eine fehler- oder lückenhafte Feststellung des Sachverhalts, hebt es die Verfügung auf und weist die Sache an die Vorinstanz zurück, damit diese den rechtserheblichen Sachverhalt neu und vollständig feststellt (vgl. Moser/Beusch/Kneubühler, a.a.O., Rz. 2.191; Kölz/Häner/Bertschi, Verwaltungsverfahren und Verwaltungsrechtspflege des Bundes, 3. Aufl. 2013, Rz. 1155). Der Untersuchungsgrundsatz gehört zu den allgemeinen Grundsätzen des Verwaltungs- beziehungsweise Asylverfahrens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Unrichtig ist die Sachverhaltsfeststellung, wenn der Verfügung ein falscher und aktenwidriger Sachverhalt zugrunde gelegt wird oder wenn die Vor-instanz nicht alle entscheidwesentlichen Gesichtspunkte des Sachverhalts prüfte, etwa weil sie die Rechtserheblichkeit einer Tatsache zu Unrecht verneinte. Unvollständig ist die Sachverhaltsfeststellung, wenn nicht alle für den Entscheid rechtsrelevanten Sachumstände berücksichtigt wurden (vgl. Kölz/Häner/Bertschi, a.a.O., Rz. 1043).</w:t>
      </w:r>
    </w:p>
    <w:p>
      <w:r>
        <w:rPr>
          <w:b/>
        </w:rPr>
        <w:t>E. 4.2</w:t>
      </w:r>
    </w:p>
    <w:p>
      <w:r>
        <w:t>Aus den Akten ergeben sich keine Anhaltspunkte dafür, dass die Vorinstanz der Frage der Reflexverfolgung der Beschwerdeführenden nachgegangen wäre, obwohl aus dem Zentralen Migrationsinformationssystem (ZEMIS) klar hervorgeht, dass zahlreichen ihrer Familienangehörigen Asyl gewährt wurde (vgl. im Wesentlichen N (...) [Eltern], N (...) [Geschwister], N (...) [Geschwister]). Zudem wurden die Verfahren des Bruders des Beschwerdeführers, (...), und der Schwester des Beschwerdeführers, (...), vom Bundesverwaltungsgericht kassiert, dies ebenfalls wegen mangelhafter Abklärung einer Reflexverfolgung durch die Vorinstanz (Urteile des BVGer E-7226/2015 vom 17. August 2016, E. 4.2, insbes. E. 4.2.3 und E-3270/2015 vom 29. November 2016). Bei dieser Sachlage ist eine Reflexverfolgung bereits deshalb nicht auszuschliessen, weil - seit dem Ausbruch des Bürgerkrieges gar verstärkt - davon auszugehen ist, dass die syrischen Behörden nicht davor zurückschrecken, auch Familienangehörige politisch aktiver Personen in asylrelevanter Weise zur Rechenschaft zu ziehen (vgl. z.B. Ireland: Refugee Documentation Centre, Syria: Information regarding the government targeting of family members of persons who have been arrested and tortured or who have been killed due to their opposition to the government, 26. März 2013; UNHCR, International Protection Considerations with regard to people fleeing the Syrian Arab Republic, Update IV, November 2015; United States Department of State, 2014 Country Reports on Human Rights Practices - Syria, 25 June 2015). Die Vorinstanz hat demnach vorliegend die Prüfung einer möglichen Reflexverfolgung ausser Acht gelassen. Damit hat sie die Pflicht zur Erstellung des rechtserheblichen Sachverhalts und gleichsam den Anspruch der Beschwerdeführenden auf rechtliches Gehör verletzt.</w:t>
      </w:r>
    </w:p>
    <w:p>
      <w:r>
        <w:rPr>
          <w:b/>
        </w:rPr>
        <w:t>E. 4.3</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Einer Kassation und Rückweisung kommt aber unter Umständen auch die Funktion zu, die Vorinstanz auf ihre verfahrensrechtlichen Pflichten aufmerksam zu machen (vgl. BVGE 2012/21 E. 5).</w:t>
      </w:r>
    </w:p>
    <w:p>
      <w:r>
        <w:rPr>
          <w:b/>
        </w:rPr>
        <w:t>E. 4.4</w:t>
      </w:r>
    </w:p>
    <w:p>
      <w:r>
        <w:t>Die Prüfung einer allfälligen Reflexverfolgung in Bezug auf die Beschwerdeführenden bedingt den Beizug der Dossiers der im ZEMIS auf-geführten Angehörigen. Indes kann es nicht die Aufgabe der Beschwerdeinstanz sein, solch grundlegende Fragen zum Sachverhalt als erste Instanz zu klären. Darüber hinaus fällt ins Gewicht, dass die Partei eine Instanz verlöre, wenn das Gericht die Grundlagen des rechtserheblichen Sachverhalts nicht nur ergänzen, sondern gleichsam wie eine erste Instanz erheben würde. Das Bundesverwaltungsgericht hat demnach von eigenen Sachverhaltsfeststellungen, die über eine blosse Ergänzung und Erwahrung des rechtserheblichen Sachverhalts hinausreichen, abzusehen (BVGE 2012/21 E. 5; ferner Urteil des Bundesverwaltungsgerichts E-4157/2012 vom 4. Oktober 2012, E. 4). Die Vorinstanz wird vorliegend - unter Hinweis darauf, dass erstinstanzliche Entscheide über die Asylgesuche verschiedener Familienangehöriger wenn immer möglich zeitlich und sachlich koordiniert zu treffen sind (vgl. diesbezüglich bereits das Urteil des BVGer E-1417/2016 vom 6. Mai 2016, E. 6.3) - angewiesen, die Asylakten der im ZEMIS aufgeführten Angehörigen der Beschwerdeführenden mit Blick auf eine sie betreffende mögliche Reflexverfolgung zu konsultieren und gestützt darauf erneut zu entscheiden.</w:t>
      </w:r>
    </w:p>
    <w:p>
      <w:r>
        <w:rPr>
          <w:b/>
        </w:rPr>
        <w:t>E. 4.5</w:t>
      </w:r>
    </w:p>
    <w:p>
      <w:r>
        <w:t>Die Beschwerde ist demzufolge gutzuheissen. Die angefochtene Verfügung vom 25. Januar 2016 ist aufzuheben und die Sache im Sinne der Erwägungen zur Neubeurteilung an die Vorinstanz zurückzuweisen.</w:t>
      </w:r>
    </w:p>
    <w:p>
      <w:r>
        <w:rPr>
          <w:b/>
        </w:rPr>
        <w:t>E. 5.1</w:t>
      </w:r>
    </w:p>
    <w:p>
      <w:r>
        <w:t>Bei diesem Ausgang des Beschwerdeverfahrens sind keine Verfahrenskosten aufzuerlegen (vgl. Art. 63 Abs. 1 VwVG). Damit wird die mit Zwischenverfügung vom 11. Oktober 2016 gewährte unentgeltliche Prozessführung obsolet.</w:t>
      </w:r>
    </w:p>
    <w:p>
      <w:r>
        <w:rPr>
          <w:b/>
        </w:rPr>
        <w:t>E. 5.2</w:t>
      </w:r>
    </w:p>
    <w:p>
      <w:r>
        <w:t>Obsiegende Parteien haben Anspruch auf eine Parteientschädigung für die ihnen erwachsenen notwendigen Kosten (Art. 64 Abs. 1 VwVG, Art. 7 Abs. 1 und 4 des Reglements vom 21. Februar 2008 über die Kosten und Entschädigungen vor dem Bundesverwaltungsgericht [VGKE, SR 173.320.2]). Der Rechtsvertreter hat keine Kostennote eingereicht. Auf entsprechende Nachforderung kann verzichtet werden, da der notwendige Vertretungsaufwand aufgrund der Akten zuverlässig abgeschätzt werden kann. Unter Berücksichtigung der massgebenden Berechnungsfaktoren (Art. 8, Art. 9 und 11 VGKE) ist die Parteientschädigung auf Fr. 900.- (inkl. Auslagen und MWST) festzusetzen. Die Vorinstanz ist anzuweisen, den Beschwerdeführenden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