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E-1029/2008 vom 7. Mai 2010</w:t>
      </w:r>
    </w:p>
    <w:p>
      <w:r>
        <w:t>Bundesverwaltungsgericht, 2010-05-07, FR</w:t>
      </w:r>
    </w:p>
    <w:p>
      <w:r>
        <w:rPr>
          <w:b/>
        </w:rPr>
        <w:t xml:space="preserve">Quelle: </w:t>
      </w:r>
      <w:r>
        <w:t>https://mcp.opencaselaw.ch/entscheid/bvger_E-1029_2008</w:t>
      </w:r>
    </w:p>
    <w:p>
      <w:r>
        <w:t>FR: TAF E-1029/2008 du 7 mai 2010</w:t>
      </w:r>
    </w:p>
    <w:p>
      <w:r>
        <w:t>IT: TAF E-1029/2008 del 7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5.4</w:t>
      </w:r>
    </w:p>
    <w:p>
      <w:r>
        <w:t>En l'occurrence, le Tribunal relève que l'intéressé n'a pas établi la crédibilité d'un risque de cette nature. Il aurait été agressé par des particuliers, agissant pour des raisons d'ordre personnel, contre lesquels il aurait pu être protégé par les autorités ; le requérant n'aurait cependant pas pris la peine de requérir leur aide. En outre, il y a lieu de rappeler que la demande de son frère a été définitivement rejetée par arrêt du 28 octobre 2008, vu le défaut de pertinence des motifs invoqués, ainsi que certains éléments invraisemblables ; le Tribunal avait ainsi retenu, entre autres points, que les intéressés ne pouvaient s'être rendus par la route de la frontière mongole à Moscou en quatre jours. Enfin, les dispositions de la Convention relative aux droits de l'enfant du 20 novembre 1989 (RS 0.107) ne sont plus applicables au recourant maintenant majeur, les conditions de l'exécution du renvoi devant en effet s'apprécier au moment du prononcé de la décision (JICRA 1996 n° 18 consid. 14e p. 189-190).</w:t>
      </w:r>
    </w:p>
    <w:p>
      <w:r>
        <w:rPr>
          <w:b/>
        </w:rPr>
        <w:t>E. 5.5</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Mongolie n'est aujourd'hui le théâtre d'aucun trouble. En outre, il ne ressort du dossier aucun élément dont on pourrait inférer que l'exécution du renvoi impliquerait une mise en danger concrète du recourant, qui est jeune et n'a pas allégué de problème de santé particulier ; il a par ailleurs accompli une scolarité secondaire complète en Mongolie, et a commencé en Suisse une formation dans la polymécanique. L'intéressé, quand bien même il n'est plus en relations étroites avec son frère, pourra aussi solliciter le soutien de ce dernier, également sous le coup d'une décision définitive ordonnant son renvoi en Mongolie.</w:t>
      </w:r>
    </w:p>
    <w:p>
      <w:r>
        <w:rPr>
          <w:b/>
        </w:rPr>
        <w:t>E. 6.3</w:t>
      </w:r>
    </w:p>
    <w:p>
      <w:r>
        <w:t>Enfin, le degré d'intégration de l'intéressé en Suisse ne peut être pris en compte que dans le cadre d'une éventuelle procédure de délivrance d'une autorisation de séjour pour cas de rigueur, dont il ne remplit cependant pas les conditions de temps (art. 14 al. 2 LAsi).</w:t>
      </w:r>
    </w:p>
    <w:p>
      <w:r>
        <w:rPr>
          <w:b/>
        </w:rPr>
        <w:t>E. 6.4</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w:t>
      </w:r>
    </w:p>
    <w:p>
      <w:r>
        <w:t>Cela étant, l'exécution du renvoi doit être déclarée conforme aux dispositions légales. Il s'ensuit que le recours doit être rejeté.</w:t>
      </w:r>
    </w:p>
    <w:p>
      <w:r>
        <w:rPr>
          <w:b/>
        </w:rPr>
        <w:t>E. 9</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