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E-1028/2015 vom 25. Februar 2015</w:t>
      </w:r>
    </w:p>
    <w:p>
      <w:r>
        <w:t>Bundesverwaltungsgericht, 2015-02-25, DE</w:t>
      </w:r>
    </w:p>
    <w:p>
      <w:r>
        <w:rPr>
          <w:b/>
        </w:rPr>
        <w:t xml:space="preserve">Quelle: </w:t>
      </w:r>
      <w:r>
        <w:t>https://mcp.opencaselaw.ch/entscheid/bvger_E-1028_2015</w:t>
      </w:r>
    </w:p>
    <w:p>
      <w:r>
        <w:t>FR: TAF E-1028/2015 du 25 février 2015</w:t>
      </w:r>
    </w:p>
    <w:p>
      <w:r>
        <w:t>IT: TAF E-1028/2015 del 25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erwog zur Begründung seines angefochtenen Entscheides, bei den geltend gemachten Drohungen und Angriffen seitens der Familie der Beschwerdeführerin handle es sich ausschliesslich um Übergriffe Dritter. Die dargelegten Vorfälle stellten auch in Bosnien und Herzegowina Straftatbestände dar, welche strafrechtlich verfolgt würden. Der bosnisch-herzegowinische Staat verfüge sowohl über funktionierende Polizeiorgane als auch über ein Rechts- und Justizsystem. Dies werde durch die Aussagen der Beschwerdeführenden bestätigt, aufgrund derer davon auszugehen sei, dass die Behörden stets korrekt gehandelt hätten. Lediglich der persönliche Wunsch nach einem bestimmten Strafmass sei für die Einschätzung der polizeilichen Arbeit nicht ausschlaggebend. Vielmehr habe die Polizei ihren Schutzwillen unter Beweis gestellt, indem sie aufgrund der Hinweise der Beschwerdeführenden Ermittlungen aufgenommen habe. Dass die von ihnen verdächtigte Person wegen unklarer Beweislage freigelassen worden sei, tue dem keinen Abbruch. Auch bezüglich der weiteren Drohungen dürfe angenommen werden, dass die Polizei ihre Anliegen ernst genommen habe und im Rahmen ihrer Möglichkeiten aktiv geworden sei. Es wäre den Beschwerdeführenden offen gestanden, sich allenfalls an eine höhere Instanz zu wenden. Dass die Behörden in ihrem Handeln an den gesetzlichen Rahmen gebunden seien, verstehe sich von selbst und spreche nicht gegen den Schutzwillen und die Schutzfähigkeit der Polizei. Es sei demnach vom Vorhandensein eines adäquaten Schutzes durch den Heimatstaat auszugehen. Im Übrigen bestünden am Wahrheitsgehalt der Vorbringen aufgrund von Widersprüchen und fehlender Substanz ernsthafte Zweifel. Die verbalen Übergriffe gegen den Sohn und die Schlägereien unter Schulkameraden würden nicht über allgemeine Belästigungen im Alltag hinausgehen. Es handle sich nicht um ernsthafte Nachteile im Sinne des Asylgesetzes. Zwar könnten Schikanen gegenüber einem Roma-Kind von Seiten einer Schulbehörde nicht ganz ausgeschlossen werden, dies würde jedoch eine einklagbare Einschränkung des Rechts auf Schulbildung darstellen. Es wäre den Beschwerdeführenden offen gestanden, sich bei einer höheren Schulbehörde zur Wehr zu setzten. Diesbezüglich seien sie sich jedoch nicht einig gewesen, ob sie diesen Weg gegangen seien oder nicht (vgl. SEM-Akten A7 S. 9 und A8 S. 8). Lediglich die Erfahrung, dass diese Stelle einmal gesagt habe, sie könne nichts tun, begründe jedenfalls keinen Schulabbruch. Bezüglich des angeblichen Leichenfundes führte das SEM aus, der Bericht des Beschwerdeführers sei ausgesprochen oberflächlich und statisch geblieben, Detailreichtum und persönliche Eindrücke hätten durchgehend gefehlt. Zudem habe er zentrale Elemente auch auf Nachfrage nicht präzisieren können. Beispielsweise habe er die Namen der Verfolger nicht gekannt, obwohl es sich um bekannte und wichtige Persönlichkeiten gehandelt habe und über deren Verhaftung in den Medien berichtet worden sei (A4 S. 8, A7 S. 12), und sei nicht in der Lage gewesen, deren Verbindung zum getöteten (...) zu konkretisieren (A7 S. 11 und 13). Des Weiteren sei nicht nachvollziehbar, wie der Verdacht, die Leiche gefunden zu haben, auf ihn gefallen sein solle. Er habe zwar angegeben, in jenem Gebiet der einzige (...) gewesen zu sein, jedoch sei D._______ (...) nicht mehr überschaubar, und es hätten exaktere Angaben dazu erwartet werden können, wie er identifiziert worden sei. Es frage sich auch, weshalb die Leiche eines (...) in einem Gebiet deponiert würde, welches von verschiedenen Personen frequentiert werde. Schliesslich spreche gegen eine Verfolgung, dass er im (...) zweimal nach Bosnien und Herzegowina zurückgekehrt sei, hätte er sich doch damit bewusst der Gefahr durch seine Gegner ausgesetzt. Es könne deshalb nicht geglaubt werden, dass er die Heimat aus den vorgebrachten Gründen verlassen habe.</w:t>
      </w:r>
    </w:p>
    <w:p>
      <w:r>
        <w:rPr>
          <w:b/>
        </w:rPr>
        <w:t>E. 5.2</w:t>
      </w:r>
    </w:p>
    <w:p>
      <w:r>
        <w:t>In der Beschwerde wiederholten die Beschwerdeführenden, sie hätten die Leiche des (...) gefunden und würden von den Tätern verfolgt, weil sie dies der Polizei angezeigt hätten. Da sie Roma seien, seien sie bei solchen Geschichten der Willkür mächtiger Personen ausgesetzt.</w:t>
      </w:r>
    </w:p>
    <w:p>
      <w:r>
        <w:rPr>
          <w:b/>
        </w:rPr>
        <w:t>E. 5.3</w:t>
      </w:r>
    </w:p>
    <w:p>
      <w:r>
        <w:t>Das Bundesverwaltungsgericht gelangt nach Prüfung der Akten in Übereinstimmung mit der Vorinstanz zum Schluss, dass die Vorbringen der Beschwerdeführenden den Anforderungen an die Flüchtlingseigenschaft nicht standhalten beziehungsweise (hinsichtlich der angeblichen Verfolgung nach einem Leichenfund) nicht geglaubt werden können. Wie die Vorinstanz zutreffend ausführte, handelt es sich bei den geschilderten Vorfällen gegebenenfalls um private Übergriffe. Der Bundesrat hat Bosnien-Herzegowina als sicheren Heimatstaat im Sinne von Art. 6a Abs. 2 Bst. a AsylG bezeichnet, was bedeutet, dass grundsätzlich Sicherheit vor Verfolgung besteht und die bosnisch-herzegowinischen Behörden sind sowohl grundsätzlich als auch im vorliegenden Fall als schutzbereit und schutzfähig zu bezeichnen. Bezüglich des angeblichen Leichenfundes und der darauf folgenden Drohungen durch Leibwächter der drei mächtigsten Männer der Stadt D._______, deren Namen der Beschwerdeführer allerdings nicht kenne, stellt das Bundesverwaltungsgericht fest, dass die entsprechenden Ausführungen oberflächlich und allgemein blieben, sich in stereotypen Wiederholungen erschöpften und keinerlei Realkennzeichen wie persönliche Wahrnehmungen oder Emotionen erkennbar waren. Zudem scheint es geradezu abwegig, dass er wegen der blossen Tatsache, dass er einen Leichenfund meldete, von den Tätern verfolgt würde. In der Beschwerde erfolgt keine Auseinandersetzung mit den vorinstanzlichen Erwägungen und es werden weder Sachverhaltselemente konkretisiert noch Beweismittel eingereicht. Es kann deshalb ohne Weiterungen auf die vorinstanzlichen Erwägungen verwiesen werden, welche vollumfänglich zu stützen sind.</w:t>
      </w:r>
    </w:p>
    <w:p>
      <w:r>
        <w:rPr>
          <w:b/>
        </w:rPr>
        <w:t>E. 5.4</w:t>
      </w:r>
    </w:p>
    <w:p>
      <w:r>
        <w:t>Nach dem Gesagten hat das SEM zu Recht die Flüchtlingseigenschaft verneint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Bosnien und Herzegowina ist demnach unter dem Aspekt von Art. 5 AsylG rechtmässig. Sodann ergeben sich weder aus den Aussagen der Beschwerde­führenden noch aus den Akten Anhaltspunkte dafür, dass sie für den Fall einer Ausschaffung nach Bosnien und Herzegowina dort mit beachtlicher Wahrscheinlichkeit ("real risk"; vgl. Urteil des EGMR Saadi gegen Italien vom 28. Februar 2008, Grosse Kammer 37201/06, §§ 124 ff. m.w.H.) einer nach Art. 3 EMRK oder Art. 1 FoK verbotenen Strafe oder Behandlung ausgesetzt wären. Auch die allgemeine Menschenrechtssituation in Bosnien und Herzegowina lässt den Wegweisungsvollzug zum heutigen Zeitpunkt klarerweise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Eine Rückkehr nach Bosnien und Herzegowina erweist sich unter Berücksichtigung der politischen Lage, der Menschenrechtssituation und der allgemeinen Lebensumstände - es besteht keine Situation von Krieg, Bürgerkrieg oder allgemeiner Gewalt, welche eine konkrete Gefährdung der Beschwerdeführenden bewirken würde - als zumutbar. Weiter ist davon auszugehen, dass die gemäss den Akten gesunden Beschwerdeführenden nach der Rückkehr in ihr gewohntes Umfeld zurückkehren und ihren Lebensunterhalt wie bisher bestreiten können. Damit liegen keine konkreten Anhaltspunkte dafür vor, dass sie bei einer Rückkehr nach Bosnien und Herzegowina in eine ihre Existenz bedrohende Situation geraten würden, die als konkrete Gefährdung im Sinne der zu beachtenden Bestimmungen zu werten wäre (Art. 83 Abs. 4 AuG). Aufgrund des kurzen Aufenthaltes in der Schweiz erübrigt sich die Frage nach einer allfälligen Integration oder Verwurzelung des (...) Sohnes. Nach dem Gesagten erweist sich der Vollzug der Wegweisung auch als zumutbar.</w:t>
      </w:r>
    </w:p>
    <w:p>
      <w:r>
        <w:rPr>
          <w:b/>
        </w:rPr>
        <w:t>E. 7.3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Aufgrund der vorstehenden Erwägungen ist die Beschwerde als aussichtslos zu qualifizieren. Das Gesuch um Gewährung der unentgeltlichen Prozessführung im Sinne von Art. 65 Abs. 1 VwVG ist daher ungeachtet der allfälligen Bedürftigkeit der Beschwerdeführenden abzuweisen. Das Gesuch um Verzicht auf die Erhebung eines Kostenvorschusses wird mit vorliegendem Direktentscheid gegenstandslos.</w:t>
      </w:r>
    </w:p>
    <w:p>
      <w:r>
        <w:rPr>
          <w:b/>
        </w:rPr>
        <w:t>E. 9.2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