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E-1027/2019 vom 22. März 2019</w:t>
      </w:r>
    </w:p>
    <w:p>
      <w:r>
        <w:t>Bundesverwaltungsgericht, 2019-03-22, DE</w:t>
      </w:r>
    </w:p>
    <w:p>
      <w:r>
        <w:rPr>
          <w:b/>
        </w:rPr>
        <w:t xml:space="preserve">Quelle: </w:t>
      </w:r>
      <w:r>
        <w:t>https://mcp.opencaselaw.ch/entscheid/bvger_E-1027_2019</w:t>
      </w:r>
    </w:p>
    <w:p>
      <w:r>
        <w:t>FR: TAF E-1027/2019 du 22 mars 2019</w:t>
      </w:r>
    </w:p>
    <w:p>
      <w:r>
        <w:t>IT: TAF E-1027/2019 del 22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Vorliegend sind die Voraussetzungen für einen Entscheid mit einer Beschwerdefrist gemäss Art. 108 Abs. 2 AsylG in der seit dem 29. September 2012 geltenden Fassung erfüllt: Der Beschwerdeführer ist Staatsangehöriger von Kosovo. Der Bundesrat bezeichnete Kosovo mit Beschluss vom 6. März 2009 als verfolgungssicheren Staat (Safe Country) im Sinne von Art. 6a Abs. 2 Bst. a AsylG und ist auf diese Einschätzung im Rahmen der periodischen Überprüfung (vgl. Art. 6a Abs. 3 AsylG) bisher nicht zurückgekommen. Zudem ist das SEM aufgrund der vollständigen und richtigen Feststellung des Sachverhalts zu Recht davon ausgegangen, dass das Verfahren nach den Anhörungen ohne weitere Abklärungen spruchreif war.</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6.1</w:t>
      </w:r>
    </w:p>
    <w:p>
      <w:r>
        <w:t>Auch für das Bundesverwaltungsgericht bestehen nicht zuletzt aufgrund der Aussagen des Beschwerdeführers und seiner Ehefrau zu ihrem weiteren Verbleib in Kosovo und demjenigen seines (...) in L._______ gewichtige Zweifel an der Authentizität ihrer Furcht vor Nachstellungen seitens der Familie des Unfallopfers. Dennoch kann nicht gänzlich ausgeschlossen werden, dass ihnen in ihrem Heimatland Blutrache nach dem kosovarischen Gewohnheitsrecht (Kanun) drohen könnte. Die Frage der Glaubhaftigkeit der Sachverhaltsdarstellung muss letztlich in Berücksichtigung der nachstehenden Erwägungen nicht abschliessend geklärt werden.</w:t>
      </w:r>
    </w:p>
    <w:p>
      <w:r>
        <w:rPr>
          <w:b/>
        </w:rPr>
        <w:t>E. 6.2</w:t>
      </w:r>
    </w:p>
    <w:p>
      <w:r>
        <w:t>Die Vorinstanz ist im Ergebnis nämlich zu Recht auch davon ausgegangen, dass die Vorbringen des Beschwerdeführers den Anforderungen an die Flüchtlingseigenschaft nicht zu genügen vermögen. Er macht von Privatpersonen ausgehende Verfolgungsmassnahmen geltend. Damit handelt es sich nicht um eine asylrechtliche Verfolgung im Sinne von Art. 3 Abs. 1 AsylG, welche die Flüchtlingseigenschaft zu begründen vermöchte. Einerseits fehlt es bei einer privaten Blutfehde am Erfordernis der flüchtlingsrechtlich relevanten Verfolgungsmotivation, weil diese nicht aus einem in Art. 3 Abs. 1 AsylG genannten Grund erfolgt. Andererseits sind Übergriffe von privaten Dritten nur dann flüchtlingsrechtlich relevant, wenn es der betroffenen Person nicht möglich ist, im Heimatland Schutz davor zu finden. Der Schutz ist dann als ausreichend zu qualifizieren, wenn eine Person effektiv Zugang zu einer funktionierenden staatlichen Infrastruktur hat und ihr deren Inanspruchnahme zumutbar ist, wobei von einem Staat nicht erwartet werden kann, dass er jederzeit präventiv in die Lebensbereiche seiner Bürger eingreifen kann. Ist kein ausreichender Schutz möglich, setzt die Anerkennung der Flüchtlingseigenschaft zudem voraus, dass die betroffene Person einer landesweiten Verfolgung ausgesetzt ist und nicht in einem anderen Teil ihres Heimatstaates Schutz finden kann (vgl. BVGE 2008/12 E. 7.2.6.1 S. 173 ff., 2008/4 E. 5.2 S. 37 f.).</w:t>
      </w:r>
    </w:p>
    <w:p>
      <w:r>
        <w:rPr>
          <w:b/>
        </w:rPr>
        <w:t>E. 6.3</w:t>
      </w:r>
    </w:p>
    <w:p>
      <w:r>
        <w:t>Wie bereits in Erwägung 3 vorstehend ausgeführt, hat der Bundesrat Kosovo mit Beschluss vom 6. März 2009 als verfolgungssicherer Staat (Safe Country) eingestuft. Die Bezeichnung eines Landes als Safe Country beinhaltet die Regelvermutung, dass eine asylrelevante staatliche Verfolgung nicht stattfindet und der Schutz vor nichtstaatlicher Verfolgung gewährleistet ist. Hierbei handelt es sich jedoch um eine relative Verfolgungssicherheit, die im Einzelfall auf Grund konkreter und substantiierter Hinweise widerlegt werden kann. Gemäss Rechtsprechung des Bundesverwaltungsgerichts gehen die zuständigen Behörden in Kosovo im Rahmen ihrer Möglichkeiten konsequent gegen Bedrohungen und Übergriffe durch Privatpersonen vor. Insofern ist vom Schutzwillen und von der weitgehenden Schutzfähigkeit der Sicherheitsbehörden auszugehen (Urteile des Bundesverwaltungsgerichts D-2562/2013 vom 16. Mai 2013 E. 4.1 f. mit Hinweis auf BVGE 2011/50 E. 4.7, E-5031/2014 vom 4. Juni 2014 E. 7.3, E-6802/2014 vom 5. Dezember 2014 E. 7 und D-1609/2016 vom 27. Dezember 2016 E. 5). Wie bereits in der angefochtenen Verfügung ausgeführt wurde, wäre es dem Beschwerdeführer und seiner Ehefrau bei Nachstellungen seitens der Familie des Unfallopfers unbenommen gewesen, den Schutz der kosovarischen Behörden in Anspruch zu nehmen, zumal davon ausgegangen werden kann, dass sich diese auch in ihrem Fall ihren Möglichkeiten entsprechend für ihren Schutz eingesetzt hätten. Es gibt keinen Grund anzunehmen, sie könnten dies nicht auch künftig, nach ihrer Rückkehr in den Heimatstaat, tun.</w:t>
      </w:r>
    </w:p>
    <w:p>
      <w:r>
        <w:rPr>
          <w:b/>
        </w:rPr>
        <w:t>E. 6.4</w:t>
      </w:r>
    </w:p>
    <w:p>
      <w:r>
        <w:t>Angesichts dieser Sachlage ergibt sich, dass die Vorbringen des Beschwerdeführers und seiner Ehefrau den Anforderungen an die Flüchtlingsrelevanz nicht standzuhalten vermögen. Es bestehen somit keine konkreten und substanziierten Hinweise, die die Regelvermutung, Kosovo gewähre Schutz vor nichtstaatlicher Verfolgung, in ihrem Fall zu widerlegen vermöchten. Die Beschwerdevorbringen rechtfertigen keine andere Einschätzung, zumal sie sich darauf beschränken, die gesuchsbegründenden Aussagen zu wiederholen. Die Vorinstanz hat die Flüchtlingseigenschaft der Beschwerdeführenden zu Recht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und seine Familie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und seiner Ehefrau nicht gelungen ist, eine asylrechtlich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 Sodann ergeben sich weder aus den Aussagen des Beschwerdeführers und seiner Ehefrau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vom 28. Februar 2008, Grosse Kammer 37201/06, §§ 124-127 m.w.H.). Eine solche konkrete Gefahr vermögen die Beschwerdeführenden nicht glaubhaft zu machen, zumal sie zwischen den gescheiterten Versöhnungsversuchen und der Ausreise noch längere Zeit (über [...] lang) an ihrem offiziellen Wohnort gelebt hätten und der Beschwerdeführer sowohl auf dem (...) als auch in seiner (...) gearbeitet habe, ohne dass etwas passiert wäre. Auch hier ist darauf hinzuweisen, dass sich der Beschwerdeführenden gegebenenfalls an die kosovarischen Behörden wenden könnten. Die allgemeine Menschenrechtssituation in Kosovo lässt den Wegweisungsvollzug sodann offensichtlich nicht als unzulässig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8.4.2</w:t>
      </w:r>
    </w:p>
    <w:p>
      <w:r>
        <w:t>Die allgemeine Lage in Kosovo als Safe Country ist offensichtlich nicht durch Krieg, Bürgerkrieg oder durch eine Situation allgemeiner Gewalt, aufgrund derer die Zivilbevölkerung als konkret gefährdet bezeichnet werden müsste, gekennzeichnet. Der Vollzug der Wegweisung ist unter diesen Umständen als grundsätzlich zumutbar zu bezeichnen.</w:t>
      </w:r>
    </w:p>
    <w:p>
      <w:r>
        <w:rPr>
          <w:b/>
        </w:rPr>
        <w:t>E. 8.4.3</w:t>
      </w:r>
    </w:p>
    <w:p>
      <w:r>
        <w:t>Vorliegend sprechen auch keine individuellen Gründe gegen die Zumutbarkeit des Wegweisungsvollzugs. Wie bereits in der angefochtenen Verfügung ausgeführt wurde, lebten der Beschwerdeführer und seine Ehefrau mit ihren Kindern vor ihrer Ausreise in G._______ in ihrem eigenen Haus. Hinzu kommt, dass auch ihre Familien in G._______ leben, weshalb sie dort über ein tragfähiges familiäres Beziehungsnetz verfügen. Dem Beschwerdeführer ist es zuzumuten, nach seiner Rückkehr seine Tätigkeit (...) und in (...) wieder aufzunehmen. Es liegen somit keine Anhaltspunkte dafür vor, der Beschwerdeführer und seine Familie könnten in Kosovo in eine existenzbedrohende Notlage geraten. Auch das Übereinkommen vom 20. November 1989 über die Rechte des Kindes (Kinderrechtskonvention, KRK; SR 0.107) steht einem Wegweisungsvollzug nicht entgegen, zumal die Kinder sich erst seit sehr kurzer Zeit in der Schweiz aufhalten und demzufolge hierzulande kaum eine Verwurzelung stattfinden konnte.</w:t>
      </w:r>
    </w:p>
    <w:p>
      <w:r>
        <w:rPr>
          <w:b/>
        </w:rPr>
        <w:t>E. 8.4.4</w:t>
      </w:r>
    </w:p>
    <w:p>
      <w:r>
        <w:t>Nach dem Gesagten erweist sich der Vollzug der Wegweisung auch als zumutbar.</w:t>
      </w:r>
    </w:p>
    <w:p>
      <w:r>
        <w:rPr>
          <w:b/>
        </w:rPr>
        <w:t>E. 8.5</w:t>
      </w:r>
    </w:p>
    <w:p>
      <w:r>
        <w:t>Schliesslich obliegt es dem Beschwerdeführer und seiner Ehefrau,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