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E-1026/2021 vom 26. März 2021</w:t>
      </w:r>
    </w:p>
    <w:p>
      <w:r>
        <w:t>Bundesverwaltungsgericht, 2021-03-26, DE</w:t>
      </w:r>
    </w:p>
    <w:p>
      <w:r>
        <w:rPr>
          <w:b/>
        </w:rPr>
        <w:t xml:space="preserve">Quelle: </w:t>
      </w:r>
      <w:r>
        <w:t>https://mcp.opencaselaw.ch/entscheid/bvger_E-1026_2021</w:t>
      </w:r>
    </w:p>
    <w:p>
      <w:r>
        <w:t>FR: TAF E-1026/2021 du 26 mars 2021</w:t>
      </w:r>
    </w:p>
    <w:p>
      <w:r>
        <w:t>IT: TAF E-1026/2021 del 26 marzo 2021</w:t>
      </w:r>
    </w:p>
    <w:p>
      <w:pPr>
        <w:pStyle w:val="Heading2"/>
      </w:pPr>
      <w:r>
        <w:t>Regeste</w:t>
      </w:r>
    </w:p>
    <w:p>
      <w:r>
        <w:t>Asyl und Wegweisung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Auf die Durchführung eines Schriftenwechsels wurde verzichtet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zusammenfassend damit, ein Bericht über das Alltagswissen und linguistische Aspekte der Sprache des Beschwerdeführers habe ergeben, dass trotz etlicher korrekter Antworten entscheidende Details, etwa zu einer wichtigen ethnischen Gruppe in B._______, bekannten dortigen Moscheen, oder bestimmten Kleidungssitten der Kurden ausgeblieben seien. In linguistischer Hinsicht sei festzustellen, dass sein kurdischer Dialekt der Varietät der Region C._______ und nicht derjenigen der Region B._______ entspreche. Diese Umstände sprächen dafür, dass der Beschwerdeführer sehr wahrscheinlich nicht wie angegeben in B._______, sondern in C._______, ARK, hauptsozialisiert worden sei. Hinsichtlich der Asylrelevanz sei festzuhalten, dass die Polizei durch ihre Ermittlungen anlässlich der Entführung seines Bruders ihren Schutzwillen dargelegt habe, weshalb ihm und seiner Familie auch in Zukunft die Inanspruchnahme der funktionierenden Schutzinfrastruktur zuzumuten sei. Die Vorbringen würden somit den Anforderungen an die Flüchtlingseigenschaft gemäss Art. 3 AsylG nicht standhalten.</w:t>
      </w:r>
    </w:p>
    <w:p>
      <w:r>
        <w:rPr>
          <w:b/>
        </w:rPr>
        <w:t>E. 5.2</w:t>
      </w:r>
    </w:p>
    <w:p>
      <w:r>
        <w:t>Was der Beschwerdeführer gegen die Verfügung der Vorinstanz vorbringt, ist nicht geeignet ihre Ausführungen umzustossen. So zweifelt er in pauschaler Weise die Tauglichkeit der Lingua-Analyse an, ohne jedoch einen begründeten wissenschaftlichen Einwand zu formulieren und ohne in seinem Fall auch nur eine der verschiedenen sprachlichen Feststellungen der Vorinstanz konkret zu bemängeln. Auch setzt er sich nicht ansatzweise mit den seitens der Vorinstanz dargelegten Lücken und Unstimmigkeiten in seinen Antworten zu den landeskundlich-kulturellen Fragen der Vorinstanz auseinander, sondern besteht darauf, dass gegenüber diesen Wissenslücken seine Asylgründe viel stärker zu gewichten wären. Er macht von Dritten ausgehende Verfolgungsmassnahmen geltend. Geht eine Verfolgung von nicht-staatlichen Akteuren aus, ist zu prüfen, ob der Beschwerdeführer staatlichen Schutz beanspruchen kann (vgl. BVGE 2013/11 E. 5.1, 2010/57 E. 2 und 2008/12 E. 5). Dabei kann nicht eine faktische Garantie des Schutzgewährers für langfristigen individuellen Schutz des von nicht-staatlicher Verfolgung Bedrohten verlangt werden, da es keinem Staat gelingt, die absolute Sicherheit aller seiner Bürger jederzeit und überall zu garantieren (vgl. Entscheidungen und Mitteilungen der vormaligen Schweizerischen Asylrekurskommission [EMARK] 2006 Nr. 18 E. 10.3.1 f.). Der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Gemäss Rechtsprechung des Bundesverwaltungsgerichts ist die Schutzfähigkeit und Schutzwilligkeit der nordirakischen Behörden grundsätzlich gegeben (vgl. BVGE 2008/4 E. 6.1-6.7 sowie aktuell etwa Urteil des BVGer E-2064/2020 vom 16. November 2020 E. 5.3). Der Vater des Beschwerdeführers konnte die Vorfälle bei den irakischen Behörden zur Anzeige bringen und es wurden Ermittlungen aufgenommen. Alleine der Umstand, dass strafrechtlich gesuchte Personen noch nicht gefasst werden konnten, stellt keinen Hinweis für die Schutzunfähigkeit der Behörden dar. Es ist ferner davon auszugehen, dass sich die irakischen Ordnungs- und Sicherheitsdienste auch künftig, nach seiner Rückkehr in den Heimatstaat, ihren Möglichkeiten entsprechend für den Schutz des Beschwerdeführers einsetzen werden.</w:t>
      </w:r>
    </w:p>
    <w:p>
      <w:r>
        <w:rPr>
          <w:b/>
        </w:rPr>
        <w:t>E. 5.3</w:t>
      </w:r>
    </w:p>
    <w:p>
      <w:r>
        <w:t>Angesichts dieser Sachlage hat die Vorinstanz die Glaubhaftigkeit der behaupteten Herkunft sowie die Flüchtlingseigenschaft des Beschwerdeführers zu Recht verneint und sein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7.3.1</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7.3.2</w:t>
      </w:r>
    </w:p>
    <w:p>
      <w:r>
        <w:t>Die Vorinstanz führt zusammengefasst im Wesentlichen aus, dass trotz der Volatilität und Dynamik der Konfliktlage im Irak in der ARK insgesamt keine Situation allgemeiner Gewalt herrsche. Die Zahl der (Todes-) Opfer unter der Zivilbevölkerung sei trotz partiell aufflammender bewaffneter Auseinandersetzungen als sehr gering einzustufen. Der Wegweisungsvollzug sei deshalb grundsätzlich zumutbar, was im Einklang mit der aktuellen Wegweisungspraxis des Bundesverwaltungsgerichts stehe. Zudem würden im vorliegenden Fall auch keine individuellen Gründe gegen die Zumutbarkeit des Wegweisungsvollzugs sprechen.</w:t>
      </w:r>
    </w:p>
    <w:p>
      <w:r>
        <w:rPr>
          <w:b/>
        </w:rPr>
        <w:t>E. 7.3.3</w:t>
      </w:r>
    </w:p>
    <w:p>
      <w:r>
        <w:t>Die Ausführungen der Vorinstanz sind nicht zu beanstanden. So hat sich das Bundesverwaltungsgericht im Urteil BVGE 2008/5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insbesondere E. 7.5.1 und 7.5.8). Diese Praxis wurde in den folgenden Jahren durch das Bundesverwaltungsgericht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 des BVGer E-1524/2020 vom 28. Mai 2020 E.6.4.2). Der Beschwerdeführer ist ein junger, gesunder Mann, der bereits zehn Jahre in der familiären Autowerkstatt gearbeitet hat und gemäss eigenen Angaben damit auch seinen Lebensunterhalt gut finanzieren konnte. Weiter hat er in seiner Heimat zusammen mit seinen Eltern - mit denen er weiterhin in Kontakt steht - in einem Haus gewohnt, das seinem Vater gehört. Die Vorinstanz hat zu Recht festgestellt, dass aufgrund der falsch angegebenen Herkunft die individuelle Situation des Beschwerdeführers in C._______ nicht abschliessend überprüft werden kann, aufgrund seiner Angaben aber ohne Weiteres davon auszugehen ist, dass er wieder am angestammten Ort bei seinen Eltern wird wohnen können und deshalb nicht ersichtlich ist, weshalb er bei seiner Rückkehr in der Heimat in eine existenzbedrohende Situation geraten sollte. Seiner Behauptung auf Beschwerdeebene, er könne nicht in die ARK zurückkehren, weil er nicht von dort stamme, ist infolge Unglaubhaftigkeit seiner Herkunftsangabe kein Gehör zu schenken. Der Vollzug der Wegweisung erweist sich nach dem Gesagten sowohl in genereller als auch individueller Hinsicht als zumutbar.</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AIG). Die entsprechenden Beschwerdebegehren sind abzuweisen.</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Die gestellten Rechtsbegehren erweisen sich als aussichtslos, weshalb die Gesuche um Gewährung der unentgeltlichen Prozessführung und Beiordnung eines amtlichen Rechtsbeistandes ungeachtet einer allfälligen prozessualen Bedürftigkeit abzuweisen sind (Art. 65 Abs. 1 VwVG; aArt. 110a Abs. 1 Bst. a AsylG).</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