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E-1021/2019 vom 14. März 2019</w:t>
      </w:r>
    </w:p>
    <w:p>
      <w:r>
        <w:t>Bundesverwaltungsgericht, 2019-03-14, DE</w:t>
      </w:r>
    </w:p>
    <w:p>
      <w:r>
        <w:rPr>
          <w:b/>
        </w:rPr>
        <w:t xml:space="preserve">Quelle: </w:t>
      </w:r>
      <w:r>
        <w:t>https://mcp.opencaselaw.ch/entscheid/bvger_E-1021_2019</w:t>
      </w:r>
    </w:p>
    <w:p>
      <w:r>
        <w:t>FR: TAF E-1021/2019 du 14 mars 2019</w:t>
      </w:r>
    </w:p>
    <w:p>
      <w:r>
        <w:t>IT: TAF E-1021/2019 del 14 marzo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ist die Beurteilungskompetenz der Beschwerdeinstanz grundsätzlich auf die Frage beschränkt, ob die Vorinstanz bei vollständig und richtig festgestelltem Sachverhalt auf das Asylgesuch zu 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Den vorliegenden Akten ist zu entnehmen, dass der Beschwerdeführer am 24. März 2017 in Italien ein Asylgesuch gestellt hat, weshalb die Vorinstanz Italien um Wiederaufnahme des Beschwerdeführers gemäss Art. 18 Abs. 1 Bst. b Dublin-III-VO ersuchte. Die italienischen Behörden liessen das Übernahmeersuchen innert der in Art. 25 Abs. 1 Dublin-III-VO vorgesehenen Frist unbeantwortet, womit sie die Zuständigkeit Italiens implizit anerkannten (Art. 25 Abs. 2 Dublin-III-VO). Die grundsätzliche Zuständigkeit Italiens ist somit gegeben.</w:t>
      </w:r>
    </w:p>
    <w:p>
      <w:r>
        <w:rPr>
          <w:b/>
        </w:rPr>
        <w:t>E. 4.1</w:t>
      </w:r>
    </w:p>
    <w:p>
      <w:r>
        <w:t>Die Vorinstanz begründet ihren Entscheid damit, dem Beschwerdeführer sei es nicht gelungen, seine Minderjährigkeit glaubhaft darzulegen und diese mit rechtsgenüglichen Identitätsdokumenten zu beweisen. Er sei deshalb nicht als unbegleiteter Minderjähriger zu behandeln. Der Beschwerdeführer habe am 24. März 2017 in Italien ein Asylgesuch eingereicht. Die italienischen Behörden hätten innerhalb der festgelegten Frist zum Übernahmeersuchen keine Stellung genommen, weshalb die Zuständigkeit an Italien übergegangen sei. Es sei davon auszugehen, dass Italien auf Grund dessen willens und in der Lage sei, sein Asylgesuch zu behandeln. Im Asyl- und Aufnahmesystem von Italien würden keine systemischen Mängel vorliegen. Im Hinblick auf den gesundheitlichen Zustand des Beschwerdeführers würden keine Gründe bestehen, die die Anwendung der Souveränitätsklausel der Schweiz rechtfertigen würden.</w:t>
      </w:r>
    </w:p>
    <w:p>
      <w:r>
        <w:rPr>
          <w:b/>
        </w:rPr>
        <w:t>E. 4.2</w:t>
      </w:r>
    </w:p>
    <w:p>
      <w:r>
        <w:t>Der Beschwerdeführer bringt gegen seine Überstellung nach Italien vor, er sei im Jahr 2017 in Italien gewesen. Obwohl er damals aus der Sicht der Schweiz minderjährig gewesen sei, habe Italien sein Asylgesuch nicht behandelt und er habe auf der Strasse gelebt. Durch das "Salvini-Dekret" sei die Situation in Italien noch schwieriger geworden. Aufgrund eines alten Bruchs in seinem Bein habe er noch immer Schmerzen. In Italien habe er nicht danach sehen lassen können. Er wolle nicht zurück nach Italien.</w:t>
      </w:r>
    </w:p>
    <w:p>
      <w:r>
        <w:rPr>
          <w:b/>
        </w:rPr>
        <w:t>E. 5.1</w:t>
      </w:r>
    </w:p>
    <w:p>
      <w:r>
        <w:t>Der Beschwerdeführer hat sich mit Blick auf die von ihm behauptete Minderjährigkeit in der Befragung zur Person und im Rahmen des rechtlichen Gehörs mehrfach widersprochen. In Anbetracht des Umstandes, dass er zudem keine rechtsgenüglichen Identitätspapiere vorgelegt hat - gemäss Art. 1a Bst. c der Asylverordnung 1 vom 11. August 1999 (AsylV 1, SR 142.311) können Identitätspapiere nur Reisepapiere (-pässe) und Identitätskarten sein, nicht aber zu anderen Zwecken ausgestellte Dokumente (vgl. BVGE 2007/7 E. 4-6), wie etwa vorliegend die Kopie eines auf seinen Namen lautenden Impfausweises - und das umfangreiche Gutachten zur Altersanalyse ihm ein Alter von 19 Jahren oder mehr bescheinigte, ist die Vorinstanz zu Recht von der Volljährigkeit des Beschwerdeführers ausgegangen. Er bringt auf Beschwerdeebene schliesslich keine weiteren Gründe für eine mögliche Minderjährigkeit vor. Der Beschwerdeführer kann sich somit aufgrund seiner zu Recht festgestellten Volljährigkeit weder auf die spezifischen Schutzbestimmungen der Dublin-III-VO noch auf die schweizerische Gesetzgebung für unbegleitete Minderjährige berufen.</w:t>
      </w:r>
    </w:p>
    <w:p>
      <w:r>
        <w:rPr>
          <w:b/>
        </w:rPr>
        <w:t>E. 5.2</w:t>
      </w:r>
    </w:p>
    <w:p>
      <w:r>
        <w:t>Der Beschwerdeführer macht geltend, Italien wolle sein Asylgesuch nicht behandeln. Er habe auf der Strasse gelebt und durch das "Salvini-Dekret" sei die Situation in Italien noch schwieriger geworden. Der Beschwerdeführer beruft sich damit implizit auf Mängel des italienischen Asylsystems.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Als junger, alleinstehender und - bis auf Schmerzen aufgrund eines alten Beinbruchs - gesunder Mann gehört der Beschwerdeführer nicht zu den besonders schutzbedürftigen Personen im Sinn der zitierten Rechtsprechung. Für andere Vulnerabilitätsgruppen hat der EGMR bislang solche Zusicherungen der italienischen Behörden nicht explizit gefordert und hierfür sieht das Bundesverwaltungsgericht auch aktuell keine Veranlassung. Die vom Beschwerdeführer geltend gemachte erschwerenden Situation in Italien aufgrund des Salvini-Dekrets ist zurzeit nicht geeignet, an der konstanten Rechtsprechung etwas zu ändern (vgl. Urteile des BVGer E-253/2019 vom 21. Januar 2019 E. 5; F-527/2019 vom 5. Februar 2019 S. 5 f.; siehe ferner E-7367/2018 vom 9. Januar 2018 S. 5 f. und D-7276/2018 vom 4. Januar 2019 S. 5). Nach dem Gesagten ist die Anwendung von Art. 3 Abs. 2 Dublin-III-VO vorliegend in Stützung der betreffenden vorinstanzlichen Erkenntnisse nicht gerechtfertigt.</w:t>
      </w:r>
    </w:p>
    <w:p>
      <w:r>
        <w:rPr>
          <w:b/>
        </w:rPr>
        <w:t>E. 5.3</w:t>
      </w:r>
    </w:p>
    <w:p>
      <w:r>
        <w:t>Der Beschwerdeführer beruft sich auf seinen Gesundheitszustand. Implizit macht er geltend, die Überstellung nach Italien gefährde seine Gesundheit und verletze damit Art. 3 EMRK. Die Vorinstanz sei deshalb anzuweisen, von ihrem Selbsteintrittsrecht gemäss Art. 17 Abs. 1 Dublin-III-VO Gebrauch zu machen. Eine zwangsweise Rückweisung von Personen mit gesundheitlichen Problemen kann nur ganz ausnahmsweise einen Verstoss gegen Art. 3 EMRK darstellen. Gemäss jüngster Rechtsprechung des EGMR beträfe dies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Der Beschwerdeführer fällt offensichtlich nicht in diese Gruppe.</w:t>
      </w:r>
    </w:p>
    <w:p>
      <w:r>
        <w:rPr>
          <w:b/>
        </w:rPr>
        <w:t>E. 5.4</w:t>
      </w:r>
    </w:p>
    <w:p>
      <w:r>
        <w:t>Im Übrigen ist der Beschwerdeführer - anstatt sein Asylverfahren vor Ort abzuwarten - in die Schweiz weitergereist. Die Dublin-III-VO räumt aber den Schutzsuchenden kein Recht ein, den ihren Antrag prüfenden Staat selber auszuwählen (vgl. auch BVGE 2010/45 E. 8.3).</w:t>
      </w:r>
    </w:p>
    <w:p>
      <w:r>
        <w:rPr>
          <w:b/>
        </w:rPr>
        <w:t>E. 5.5</w:t>
      </w:r>
    </w:p>
    <w:p>
      <w:r>
        <w:t>Betreffend den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zu. Das Gericht greife nur dann ein, wenn das SEM das ihm eingeräumte Ermessen über- beziehungsweise unterschreite oder missbrauche und damit Bundesrecht verletze. Dies ist vorliegend nicht der Fall.</w:t>
      </w:r>
    </w:p>
    <w:p>
      <w:r>
        <w:rPr>
          <w:b/>
        </w:rPr>
        <w:t>E. 5.6</w:t>
      </w:r>
    </w:p>
    <w:p>
      <w:r>
        <w:t>Die Vorinstanz ist somit zutreffend von der Zuständigkeit Italiens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w:t>
      </w:r>
    </w:p>
    <w:p>
      <w:r>
        <w:rPr>
          <w:b/>
        </w:rPr>
        <w:t>E. 7.1</w:t>
      </w:r>
    </w:p>
    <w:p>
      <w:r>
        <w:t>Die gestellten Rechtsbegehren erweisen sich als aussichtslos, weshalb das Gesuch um unentgeltliche Prozessführung und amtliche Verbeiständung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8</w:t>
      </w:r>
    </w:p>
    <w:p>
      <w:r>
        <w:t>Der am 28. Februar 2019 angeordnete, vorsorgliche Vollzugsstopp fällt mit dem vorliegenden Urteil dahin, ebenso wie der Eventualantrag auf Wiederherstellung der aufschiebenden Wirkung der Beschwerde.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