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E-1013/2013 vom 28. Februar 2014</w:t>
      </w:r>
    </w:p>
    <w:p>
      <w:r>
        <w:t>Bundesverwaltungsgericht, 2014-02-28, DE</w:t>
      </w:r>
    </w:p>
    <w:p>
      <w:r>
        <w:rPr>
          <w:b/>
        </w:rPr>
        <w:t xml:space="preserve">Quelle: </w:t>
      </w:r>
      <w:r>
        <w:t>https://mcp.opencaselaw.ch/entscheid/bvger_E-1013_2013</w:t>
      </w:r>
    </w:p>
    <w:p>
      <w:r>
        <w:t>FR: TAF E-1013/2013 du 28 février 2014</w:t>
      </w:r>
    </w:p>
    <w:p>
      <w:r>
        <w:t>IT: TAF E-1013/2013 del 28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1.5</w:t>
      </w:r>
    </w:p>
    <w:p>
      <w:r>
        <w:t>Auf die Durchführung eines Schriftenwechsels wurde gestützt auf Art. 111a Abs. 1 AsylG verzichtet.</w:t>
      </w:r>
    </w:p>
    <w:p>
      <w:r>
        <w:rPr>
          <w:b/>
        </w:rPr>
        <w:t>E. 2</w:t>
      </w:r>
    </w:p>
    <w:p>
      <w:r>
        <w:t>Die Kognition des Gerichts und die zulässigen Rügen bestimmen sich im Asylbereich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24. Januar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die Sache ist zur vollständigen Sachverhaltsfeststellung sowie zu neuer Entscheidung an die Vorinstanz zurückzuweisen. Dem BFM werden die vorinstanzlichen Akten sowie das gesamte Beschwerdedossier, welches ebenfalls Prozessstoff des vorinstanzlichen Verfahrens bilden wird,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Der am 20. März 2013 geleistete Kostenvorschuss ist dem Beschwerdeführer zurückzuerstatten.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am 12. April 2013 eine Kostennote eingereicht (Stand der Aufwendungen bis zu diesem Datum). In dieser macht er einen Aufwand von 21 Stunden und Auslagen in der Höhe von Fr. 76.80 geltend. Zudem verweist er auf seinen Stundenansatz von Fr. 240.-. Der Aufwand für die spätere Eingabe vom 13. Mai 2013 wurde nicht mehr ausgewiesen; er lässt sich jedoch zuverlässig abschätzen. Indessen ist der ausgewiesene Vertretungsaufwand zu kürzen, wobei zu berücksichtigen ist, dass viele der vorliegend eingereichten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und der entsprechende Aufwand des Rechtsvertreters im Rahmen von Parteientschädigungen bereits entschädigt worden. Zudem weist der Inhalt der Eingaben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