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E-1008/2013 vom 5. März 2013</w:t>
      </w:r>
    </w:p>
    <w:p>
      <w:r>
        <w:t>Bundesverwaltungsgericht, 2013-03-05, DE</w:t>
      </w:r>
    </w:p>
    <w:p>
      <w:r>
        <w:rPr>
          <w:b/>
        </w:rPr>
        <w:t xml:space="preserve">Quelle: </w:t>
      </w:r>
      <w:r>
        <w:t>https://mcp.opencaselaw.ch/entscheid/bvger_E-1008_2013</w:t>
      </w:r>
    </w:p>
    <w:p>
      <w:r>
        <w:t>FR: TAF E-1008/2013 du 5 mars 2013</w:t>
      </w:r>
    </w:p>
    <w:p>
      <w:r>
        <w:t>IT: TAF E-1008/2013 del 5 marzo 2013</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Abs.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 Bei einem Nichteintreten gestützt auf Art. 32 Abs. 2 Bst. a und Abs. 3 AsylG ist indessen über die Flüchtlingseigenschaft abschliessend materiell zu entscheiden, soweit dies im Rahmen einer summarischen Prüfung möglich ist (vgl. BVGE 2007/8 E. 5.6.5). Die Flüchtlingseigenschaft ist insoweit Prozessgegenstand im Beschwerdeverfahren (vgl. BVGE a.a.O. E. 2.1). Da die Vorinstanz die Frage der Wegweisung und des Vollzugs materiell geprüft hat, kommt dem Bundesverwaltungsgericht diesbezüglich volle Kognition zu.</w:t>
      </w:r>
    </w:p>
    <w:p>
      <w:r>
        <w:rPr>
          <w:b/>
        </w:rPr>
        <w:t>E. 4.1</w:t>
      </w:r>
    </w:p>
    <w:p>
      <w:r>
        <w:t>Entschuldbare Gründe für die Nichtabgabe von Reise- oder Identitätspapiere liegen praxisgemäss vor, wenn die asylsuchende Person glaubhaft darzutun vermag, dass sie dazu nicht in der Lage ist, weil sie die Reise- oder Identitätspapiere im Heimatstaat zurückgelassen hat, sich aber umgehend und ernsthaft darum bemüht, diese innert angemessener Frist zu beschaffen (BVGE 2010/2 E. 6).</w:t>
      </w:r>
    </w:p>
    <w:p>
      <w:r>
        <w:rPr>
          <w:b/>
        </w:rPr>
        <w:t>E. 4.2</w:t>
      </w:r>
    </w:p>
    <w:p>
      <w:r>
        <w:t>Der Beschwerdeführer hat bis zum heutigen Zeitpunkt keine Reise- und Identitätspapiere abgegeben. Der von ihm angeführte Grund - er gehöre der Ethnie der Bihari an und erhalte als solcher keine Identitätsdokumente vom Staat - ist nicht geeignet, die Papierlosigkeit zu entschuldigen. In Übereinstimmung mit der Vorinstanz ist festzustellen, dass er offensichtlich nicht wahrheitsgemässe Angaben zu seiner Ethnie gemacht hat. Aufgrund der unglaubhaften Aussagen ist vielmehr davon auszugehen, dass er im Besitz von Ausweispapieren ist, diese aber den schweizerischen Asylbehörden vorenthält. Damit kann er sich von vornherein nicht auf entschuldbare Gründe im Sinne von Art. 32 Abs. 3 Bst. a AsylG berufen. Die in der Beschwerde vorgebrachten Einwände, er habe im Konsulat angerufen und sei am 25. Februar 2013 persönlich vorbeigegangen, um sich nach den Identitätsdokumenten zu erkundigen, doch das Konsulat habe die Ausstellung der Dokumente verweigert, vermögen an diesem Ergebnis nichts zu ändern. Abgesehen davon, dass die Vorbringen offensichtlich nachgeschoben sind, stehen sie unbelegt im Recht und sind auch deshalb unglaubhaft, weil Angehörige der Ethnie Bihari seit dem 18. Mai 2008 Anspruch auf die Staatsbürgerschaft und Identitätspapiere haben (vgl. BVGE 2010/8 E.6.2 ). Die Papierlosigkeit bleibt nach dem Gesagten unentschuldigt.</w:t>
      </w:r>
    </w:p>
    <w:p>
      <w:r>
        <w:rPr>
          <w:b/>
        </w:rPr>
        <w:t>E. 5.1</w:t>
      </w:r>
    </w:p>
    <w:p>
      <w:r>
        <w:t>Gemäss Art. 32 Abs. 3 Bst. c AsylG ist das Asylgesuch trotz (unentschuldigter) Papierlosigkeit einlässlich zu behandeln, wenn sich erweist, dass zusätzliche Abklärungen zur Feststellung der Flüchtlingseigenschaft oder eines Wegweisungsvollzugshindernisses nötig sind.</w:t>
      </w:r>
    </w:p>
    <w:p>
      <w:r>
        <w:rPr>
          <w:b/>
        </w:rPr>
        <w:t>E. 5.2</w:t>
      </w:r>
    </w:p>
    <w:p>
      <w:r>
        <w:t>Der Beschwerdeführer macht im Wesentlichen geltend, dass er im B._______ gelebt habe und dort von Regierungsanhängern unmenschlich behandelt worden sei. Im Jahre 2002 sei in der Fabrik, wo er gearbeitet habe, eine Person getötet worden. Die Polizei habe danach alle Arbeiter angezeigt, er sei in Abwesenheit verurteilt worden und müsse bei einer Rückkehr ins Gefängnis. In Übereinstimmung mit der Vorinstanz ist jedoch festzustellen, dass diese Ausführungen aufgrund der zahlreichen Ungereimtheiten und realitätsfremden Angaben nicht glaubhaft sind. So ist nicht davon auszugehen, dass der Beschwerdeführer überhaupt der Ethnie Bihari angehört und im B._______ gelebt hat, da er nur wenig Urdu spricht, obwohl dies die Sprache der Bihari ist, und tatsachenwidrige Angaben zum B._______ machte. Ferner sind seine Ausführungen äusserst plakativ und substanzarm ausgefallen; sie lassen jegliche Realitätskennzeichen vermissen. Der Beschwerdeführer wiederholt in seiner Beschwerde, ihm drohten Repressalien im Heimatland, ohne sich mit den Feststellungen in der angefochtenen Verfügung auseinanderzusetzen. Er zeigt nicht ansatzweise auf, inwiefern die angefochtene Verfügung Bundesrecht verletzen oder auf einer fehlerhaften Sachverhaltsfeststellung beruhen soll. Solches ist auch nicht ersichtlich. Die Vorinstanz nimmt zutreffend an, dass keine Hinweise auf Verfolgung vorliegen, und ist auf das Asylgesuch zu Recht nicht eingetreten.</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Bangladesh noch individuelle Gründe lassen auf eine konkrete Gefährdung im Falle einer Rückkehr des Beschwerdeführers nach Bangladesh schliessen. Der Vollzug der Wegweisung ist demnach zumutbar.</w:t>
      </w:r>
    </w:p>
    <w:p>
      <w:r>
        <w:rPr>
          <w:b/>
        </w:rPr>
        <w:t>E. 7.4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7.5</w:t>
      </w:r>
    </w:p>
    <w:p>
      <w:r>
        <w:t>Die Vorinstanz hat den Wegweisungsvollzug zusammenfassend zu Recht als zulässig, zumutbar und möglich erachtet, weshalb die Anordnung der vorläufigen Aufnahme ausser Betracht fällt.</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Dem Ersuchen des Beschwerdeführers um Gewährung der unentgeltlichen Prozessführung kann nicht entsprochen werden, weil sein Begehren als aussichtslos zu gelten hat (Art. 65 Abs. 1 VwVG). Der Beschwerdeführer hat daher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