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E-1007/2011 vom 5. April 2011</w:t>
      </w:r>
    </w:p>
    <w:p>
      <w:r>
        <w:t>Bundesverwaltungsgericht, 2011-04-05, DE</w:t>
      </w:r>
    </w:p>
    <w:p>
      <w:r>
        <w:rPr>
          <w:b/>
        </w:rPr>
        <w:t xml:space="preserve">Quelle: </w:t>
      </w:r>
      <w:r>
        <w:t>https://mcp.opencaselaw.ch/entscheid/bvger_E-1007_2011</w:t>
      </w:r>
    </w:p>
    <w:p>
      <w:r>
        <w:t>FR: TAF E-1007/2011 du 5 avril 2011</w:t>
      </w:r>
    </w:p>
    <w:p>
      <w:r>
        <w:t>IT: TAF E-1007/2011 del 5 aprile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Beschwerdeschrift richtet sich ausschliesslich gegen den Vollzug der von der Vorinstanz verfügten Wegweisung. Die Verfügung vom BFM vom 11. Januar 2011 ist - soweit sie die Fragen der Flüchtlingseigenschaft, der Asylgewährung und der Anordnung der Wegweisung betrifft (Dispositiv-Ziffern 1 bis 3 der angefochtenen Verfügung) - in Rechtskraft erwachsen und daher nicht mehr zu überprüfen (vgl. Entscheidungen und Mitteilungen der Schweizerischen Asylrekurskommission [EMARK] 2001 Nr. 21). Gegenstand des vorliegenden Beschwerdeverfahrens ist daher lediglich die Frage, ob die Wegweisung zu vollziehen oder ob anstelle des Vollzugs eine vorläufige Aufnahme anzuordnen ist.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Es ist nicht anzunehmen, dass er bei einer allfälligen Rückkehr einer solchen Gefahr ausgesetzt wäre (angeblich Haft mit möglichem tödlichem Ausgang [vgl. Beschwerdeschrift S. 2]), weil ihm bei einer missglückten Rückführung im Jahr 2006 ein Laissez-passer auf einen falschen Namen ausgestellt wurde.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5.5</w:t>
      </w:r>
    </w:p>
    <w:p>
      <w:r>
        <w:t>Die von der Vorinstanz festgestellte Verneinung einer landesweiten Situation allgemeiner Gewalt in der Demokratischen Republik Kongo wird vom Beschwerdeführer in dem Sinne unterstützt, dass auch seines Wissens die Angehörigen der Banjamulenge keine asylrelevanten Verfolgungen durch staatliche Behörden zu befürchten hätten und nach Verlautbarungen der Regierung auch nicht diskriminiert würden.</w:t>
      </w:r>
    </w:p>
    <w:p>
      <w:r>
        <w:rPr>
          <w:b/>
        </w:rPr>
        <w:t>E. 5.6</w:t>
      </w:r>
    </w:p>
    <w:p>
      <w:r>
        <w:t>Indes hielt der Beschwerdeführer der vorinstanzlichen Behauptung, der Wegweisungsvollzug sei auch aus individueller Sicht zumutbar, entgegen, er werde bei einer Rückkehr auf kein familiäres Netz zurückgreifen können, obdach- und arbeitslos sein sowie in äusserster Armut leben, vorausgesetzt er geriete nicht in Haft.</w:t>
      </w:r>
    </w:p>
    <w:p>
      <w:r>
        <w:rPr>
          <w:b/>
        </w:rPr>
        <w:t>E. 5.7</w:t>
      </w:r>
    </w:p>
    <w:p>
      <w:r>
        <w:t>Vorab ist darauf hinzuweisen, dass wirtschaftliche Schwierigkeiten nur in Ausnahmefällen zur Feststellung der Unzumutbarkeit eines Wegweisungsvollzugs führen (vgl. die weiterhin geltende Praxis der ehemaligen in asylrechtlichen Beschwerdeverfahren zuständigen ARK in Entscheidungen und Mitteilungen der ARK/EMARK 2003 Nr. 24 E. 5.e). Der Beschwerdeführer ist ein junger, alleinstehender Mann ohne aktenkundige gesundheitliche Probleme. Er ist ein Angehöriger der Volksgruppe der Banjamulenge und hat bis zu seiner Ausreise mutmasslich im Jahr 1996 in der Hauptstadt Kinshasa gelebt, wo er auch zehn Schuljahre absolviert hat (A5, S. 7 f.) und voraussichtlich über ein soziales Netz zurückgreifen kann. Nach der Schulzeit hat er sein Einkommen als (...) verdient (A5, S. 1 und 7 f.). Er spricht und versteht offenbar Lingala, Französisch sowie Suaheli (A1, S. 2; A2, S. 6; A5, S. 5). Es ist unter diesen Umständen davon auszugehen, dass es ihm gelingen wird, sich in Kinshasa - trotz langjähriger Landesabwesenheit - innert nützlicher Frist wieder eine wirtschaftliche Existenz aufzubauen - auch wenn seine Familienangehörigen im Osten des Landes oder in Brazzaville leben. Zur Überbrückung allfälliger Anfangsschwierigkeiten kann er beim BFM Rückkehrhilfe beantragen. Es ist demnach nicht davon auszugehen, dass er bei seiner Rückkehr in die Heimatstadt aus individuellen Gründen wirtschaftlicher, sozialer oder gesundheitlicher Natur in eine existenzbedrohende Situation geraten würde (vgl. BVGE 2009/2 E. 9.2.1 und 9.2.3). Nach dem Gesagten erweist sich der Vollzug der Wegweisung folglich als zumutbar; auf die von der Rechtsvertreterin angeführte Glaubwürdigkeit ist daher nicht mehr einzugehen.</w:t>
      </w:r>
    </w:p>
    <w:p>
      <w:r>
        <w:rPr>
          <w:b/>
        </w:rPr>
        <w:t>E. 5.8</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 An dieser Stelle sei zu erwähnen, dass die in der Beschwerdeschrift vorgebrachte Namensverwechslung auf den für die Ausschaffung notwendigen Dokumenten als Begründung für einen unmöglichen Wegweisungsvollzug nicht taugt. Der korrekte technische Ablauf eines Wegweisungsvollzugs liegt in den Händen des zuständigen Kantons und nicht im Bereich des Bundesverwaltungsgerichts.</w:t>
      </w:r>
    </w:p>
    <w:p>
      <w:r>
        <w:rPr>
          <w:b/>
        </w:rPr>
        <w:t>E. 5.9</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Aus den vorstehenden Erwägungen wird ersichtlich, dass die Rechtsbegehren im Zeitpunkt ihrer Einreichung aussichtlos waren, weshalb das Gesuch im Sinne von Art. 65 Abs. 1 VwVG abzuweisen ist.</w:t>
      </w:r>
    </w:p>
    <w:p>
      <w:r>
        <w:rPr>
          <w:b/>
        </w:rPr>
        <w:t>E. 7.2</w:t>
      </w:r>
    </w:p>
    <w:p>
      <w:r>
        <w:t>Bei diesem Ausgang des Verfahrens sind die Kosten in der Höhe von Fr. 600.- dem Beschwerdeführer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