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D-9/2014 vom 12. März 2014</w:t>
      </w:r>
    </w:p>
    <w:p>
      <w:r>
        <w:t>Bundesverwaltungsgericht, 2014-03-12, DE</w:t>
      </w:r>
    </w:p>
    <w:p>
      <w:r>
        <w:rPr>
          <w:b/>
        </w:rPr>
        <w:t xml:space="preserve">Quelle: </w:t>
      </w:r>
      <w:r>
        <w:t>https://mcp.opencaselaw.ch/entscheid/bvger_D-9_2014</w:t>
      </w:r>
    </w:p>
    <w:p>
      <w:r>
        <w:t>FR: TAF D-9/2014 du 12 mars 2014</w:t>
      </w:r>
    </w:p>
    <w:p>
      <w:r>
        <w:t>IT: TAF D-9/2014 del 12 marzo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vorliegende Verfahren war im Zeitpunkt des Inkrafttretens der Änderung des AsylG vom 14. Dezember 2012 - mithin am 1. Februar 2014 - schon hängig, weshalb vorliegend das neue Recht gilt (vgl. Abs. 1 der entsprechenden Übergangsbestimmungen).</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nach der fristgerechten Leistung des Kostenvorschusses einzutreten.</w:t>
      </w:r>
    </w:p>
    <w:p>
      <w:r>
        <w:rPr>
          <w:b/>
        </w:rPr>
        <w:t>E. 2</w:t>
      </w:r>
    </w:p>
    <w:p>
      <w:r>
        <w:t>Das Bundesverwaltungsgericht überprüft die angefochtene Verfügung aus den in Art. 106 Abs. 1 AsylG vorgesehenen Gründen.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Nichteintreten auf die Asylgesuche und die darin enthaltene Feststellung des offenkundigen Fehlens der Flüchtlingseigenschaft der Beschwerdeführenden sowie die Anordnung der Wegweisung sind durch das Urteil D-2613/2008 des Bundesverwaltungsgerichts vom (...) 2010 in Rechtskraft erwachsen. Gegenstand des vorliegenden Beschwerdeverfahrens bildet somit einzig (wie in der Beschwerde beantragt) die Frage des Vollzugs der Wegweisung (Art. 44 AsylG).</w:t>
      </w:r>
    </w:p>
    <w:p>
      <w:r>
        <w:rPr>
          <w:b/>
        </w:rPr>
        <w:t>E. 5.1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Der Vollzug der Wegweisung ist in Beachtung der massgeblichen völker- und landesrechtlichen Bestimmungen zulässig. Zum einen ist es den Beschwerdeführenden zufolge des rechtskräftigen Entscheides bezüglich des Nichteintretens nicht gelungen, eine offenkundige Verfolgung vorzubringen. Zum anderen ergeben sich weder aus den Aussagen der Beschwerdeführenden noch - dies auch mit Blick auf die nachstehenden Ausführungen in E. 5.3.2 -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w:t>
      </w:r>
    </w:p>
    <w:p>
      <w:r>
        <w:rPr>
          <w:b/>
        </w:rPr>
        <w:t>E. 5.3.1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Diesbezüglich wird in der Beschwerde eingewendet, in Kosovo sei nach wie vor das Prinzip der Blutrache vorherrschend. Zwar treffe zu, dass eine Tochter der Beschwerdeführenden mit (...) in Kosovo lebe. Dieser würde als mutmasslicher serbischer Spion unter Druck gesetzt, weswegen ihre Tochter in Kosovo unter falschem Namen lebe. Somit wären auch die Beschwerdeführenden bei einer Rückkehr dorthin ihres Lebens nicht sicher. Die Tochter lebe unter einer permanent anhaltenden Angst, dass ihre wahre Identität aufgedeckt werde. Nicht zuletzt deshalb lebten nahezu alle Familienangehörigen der Beschwerdeführenden im Ausland. Lediglich ein Onkel der Beschwerdeführenden 2 und ihre verheiratete Tochter seien noch in Kosovo wohnhaft. Sodann treffe nicht zu, dass ihr Sohn E._______ im Jahr 2011 nach Kosovo zurückgekehrt sei, um administrative Tätigkeiten vorzunehmen. Vielmehr habe er diese von der Schweiz aus über die (...) Botschaft erledigt. Dass ihr Sohn K._______ zusammen mit seiner Schwester und (...) im Haus von L._______, der Mutter der Beschwerdeführenden 2, in Kosovo wohne, treffe ebenfalls nicht zu. Das Haus der Beschwerdeführenden sei zerstört worden und diese verfügten nicht über die Möglichkeit, ein Haus zu erwerben. Zwar hätten sie vor der Flucht in die Schweiz tatsächlich während kurzer Zeit im Haus von L._______ wohnen können, ebenso wie auch ihre Tochter und deren Ehemann. Doch seien sie von L._______ aufgefordert worden, das Haus zu verlassen. Daraus werde ersichtlich, dass die im Ausland wohnhafte L._______ ihr Haus, welches lediglich (...) Zimmer umfasse, für eigene Zwecke benötige und nicht fest vergeben wolle. Auch sei L._______ diesbezüglich vom BFM nicht kontaktiert worden. Überdies sei die Zumutbarkeit des Wegweisungsvollzugs zu verneinen, weil die Beschwerdeführenden der RAE-Minderheit angehörten. Aufgrund ihrer beruflichen Ausbildung seien sie nicht in der Lage, aus alleiniger Kraft eine ausreichende wirtschaftliche Lebensgrundlage zu erarbeiten. Das BFM habe Abklärungen zu den finanziellen Möglichkeiten und der Bereitschaft der Verwandten der Beschwerdeführenden im Ausland zur Leistung von Unterstützung unterlassen, weshalb das Verfahren zur genauen Abklärung der Zumutbarkeit des Wegweisungsvollzugs an die Vorinstanz zurückzuweisen sei. Selbst beim Vorliegen dieser Voraussetzungen wäre die Lebensgrundlage der Beschwerdeführenden noch nicht gewährleistet, ebenfalls nicht durch die Verwandten in Kosovo. So befinde sich ihr nun in der Schweiz lebender Sohn E._______ in Ausbildung und habe noch kein geregeltes Einkommen. Alle vom BFM zur Unterstützung bezeichneten Personen seien vorab um die Sicherstellung ihrer eigenen Existenz besorgt. Einzig die verheiratete Tochter und ein Onkel der Beschwerdeführenden 2 seien in Kosovo wohnhaft, während sich ihr Sohn K._______ in M._______ aufhalte. Somit verfügten die Beschwerdeführenden in Kosovo auch nicht über ein tragfähiges Beziehungsnetz (...). Die Beschwerdeführenden haben trotz des ihnen zum Ergebnis der Abklärungen der Schweizerischen Botschaft schriftlich gewährten rechtlichen Gehörs keine Stellungnahme eingereicht. Ihre in der Beschwerde erhobenen Einwände im Zusammenhang mit ihren Verwandten in Kosovo und ihrer Wohnsituation im Hinblick auf eine allfällige Rückkehr dorthin sind mithin einerseits nachgeschoben und vermögen anderseits namentlich nicht zu überzeugen. Ihre Befürchtung, Opfer von Blutrache zu werden, kommt pauschal daher und gründet auf keinen konkreten Vorfällen. Ähnliches gilt für die Einwände bezüglich ihrer Tochter J._______, welche den Namen gewechselt habe, erklärte der Beschwerdeführende 1 doch diesbezüglich anlässlich der Anhörung vom (...) 2013 lediglich, deren Ehemann sei vor (...) Jahren aus Gründen, die ihm nicht bekannt seien, einmal geschlagen worden (...). Die Beschwerdeführende 2 gab damals zu Protokoll, die Familie habe vor ihrer Einreise in die Schweiz im Haus von L._______ gelebt, es würden viele Leute dort wohnen; die Gründe, weshalb dies zum heutigen Zeitpunkt nicht mehr möglich sein soll, wurden reichlich diffus geschildert, weshalb sie alles andere als zu überzeugen vermögen (...). Zudem erklärte sie weiter, ihre (...) Geschwister lebten allesamt regulär in Deutschland und würden jede zweite Woche von dort nach Kosovo zurückkehren (...). Bei dieser Sachlage kann davon ausgegangen, dass die Beschwerdeführenden dort ebenfalls durch ihre im Ausland lebenden Verwandten unterstützt würden, weshalb sich der Vorwurf, diesbezüglich sei der rechtserhebliche Sachverhalt durch die Vorinstanz ungenügend abgeklärt worden, als unbegründet erweist und der in diesem Zusammenhang gestellte Antrag auf Rückweisung des Verfahrens an das BFM abzuweisen ist. Im Übrigen wird mit Urteil des Bundesverwaltungsgerichts gleichen Datums die Beschwerde des Sohnes D._______ (D-10/2014; N ...) der Beschwerdeführenden abgewiesen. Insgesamt sind somit in Übereinstimmung mit den Erwägungen in der angefochtenen Verfügung (vgl. Sachverhalt Bst. E), welche sich nach einer Überprüfung der Akten als zutreffend erweisen, keine hinreichenden Anhaltspunkte gegeben, die einen Wegweisungsvollzug nach Kosovo aus individuellen Gründen als unzumutbar erscheinen lassen. Die Entgegnungen der Beschwerdeführenden in der Rechtsmitteleingabe sind deshalb aufgrund vorstehender Ausführungen nicht geeignet, eine andere Beurteilung herbeizuführen.</w:t>
      </w:r>
    </w:p>
    <w:p>
      <w:r>
        <w:rPr>
          <w:b/>
        </w:rPr>
        <w:t>E. 5.3.3</w:t>
      </w:r>
    </w:p>
    <w:p>
      <w:r>
        <w:t>Nach dem Gesagten erweist sich der Vollzug der Wegweisung auch als zumutbar.</w:t>
      </w:r>
    </w:p>
    <w:p>
      <w:r>
        <w:rPr>
          <w:b/>
        </w:rPr>
        <w:t>E. 5.4</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5.5</w:t>
      </w:r>
    </w:p>
    <w:p>
      <w:r>
        <w:t>Insgesamt hat das Bundesamt den Vollzug der Wegweisung zu Recht als zulässig, zumutbar und möglich erachtet. Nach dem Gesagten fällt eine Anordnung der vorläufigen Aufnahme ausser Betracht (Art. 83 Abs. 1-4 AuG).</w:t>
      </w:r>
    </w:p>
    <w:p>
      <w:r>
        <w:rPr>
          <w:b/>
        </w:rPr>
        <w:t>E. 6</w:t>
      </w:r>
    </w:p>
    <w:p>
      <w:r>
        <w:t>Aus diesen Erwägungen ergibt sich, dass die angefochtene Verfügung im Sinne von Art. 106 Abs. 1 AsylG Bundesrecht nicht verletzt. Die Beschwerde ist abzuweisen.</w:t>
      </w:r>
    </w:p>
    <w:p>
      <w:r>
        <w:rPr>
          <w:b/>
        </w:rPr>
        <w:t>E. 7</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Sie sind durch den am 24. Januar 2014 einbezahlten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