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D-998/2010 vom 10. September 2010</w:t>
      </w:r>
    </w:p>
    <w:p>
      <w:r>
        <w:t>Bundesverwaltungsgericht, 2010-09-10, DE</w:t>
      </w:r>
    </w:p>
    <w:p>
      <w:r>
        <w:rPr>
          <w:b/>
        </w:rPr>
        <w:t xml:space="preserve">Quelle: </w:t>
      </w:r>
      <w:r>
        <w:t>https://mcp.opencaselaw.ch/entscheid/bvger_D-998_2010</w:t>
      </w:r>
    </w:p>
    <w:p>
      <w:r>
        <w:t>FR: TAF D-998/2010 du 10 septembre 2010</w:t>
      </w:r>
    </w:p>
    <w:p>
      <w:r>
        <w:t>IT: TAF D-998/2010 del 10 settembre 2010</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Abs. 1 VwVG). Die Beschwerdeführenden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In der Rechtsmitteleingabe wurde im Wesentlichen geltend gemacht, die Beschwerdeführenden hätten aufgrund ihrer ethnischen Angehörigkeit keine Lebensperspektive in ihrem Heimatland. Als Roma hätten sie auch keinen Zugang zu den medizinischen und sozialen Strukturen. Bei einer erzwungenen Rückkehr nach Bosnien und Herzegowina müssten sie ethnische Verfolgung und Diskriminierung erleiden, und erhielten vom Staat keinen Schutz.</w:t>
      </w:r>
    </w:p>
    <w:p>
      <w:r>
        <w:rPr>
          <w:b/>
        </w:rPr>
        <w:t>E. 5</w:t>
      </w:r>
    </w:p>
    <w:p>
      <w:r>
        <w:t>Zunächst ist festzuhalten, dass sich die vorliegende Beschwerde ausschliesslich gegen den von der Vorinstanz verfügten Wegweisungsvollzug richtet. Damit ist die Verfügung des BFM vom 20. Januar 2010, soweit sie die Verneinung der Flüchtlingseigenschaft, die Verweigerung des Asyls sowie die angeordnete Wegweisung betrifft (Ziffn. 1-3 des Dispositivs der angefochtenen Verfügung), in Rechtskraft erwachsen. Gegenstand des Beschwerdeverfahrens bildet somit lediglich die Frage, ob die Wegweisung zu vollziehen oder ob anstelle des Vollzugs eine vorläufige Aufnahme anzuordnen ist.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vormals zuständigen Schweizerischen Asylrekurskommission der gleiche Beweisstandard wie bei der Flüchtlingseigenschaft, das heisst, sie sind zu beweisen, wenn der strikte Beweis möglich ist, und andernfalls wenigstens glaubhaft zu machen (vgl. Walter Stöckli, Asyl, in: Peter Uebersax/Beat Rudin/Thomas Hugi Yar/Thomas Geiser [Hrsg.], Ausländerrecht, Handbücher für die Anwaltspraxis, Band VIII, 2. Auflage, Basel 2009, S. 568 Rz. 11.148).</w:t>
      </w:r>
    </w:p>
    <w:p>
      <w:r>
        <w:rPr>
          <w:b/>
        </w:rPr>
        <w:t>E. 5.2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5.2.1</w:t>
      </w:r>
    </w:p>
    <w:p>
      <w:r>
        <w:t>Da in casu die Ablehnung des Asylgesuchs nicht angefochten worden und demnach in Rechtskraft erwachsen ist, kann das in Art. 5 AsylG verankerte Prinzip des flüchtlingsrechtlichen Non-Refoulements vorliegend keine Anwendung finden. Eine Rückkehr der Beschwerdeführenden in ihren Heimatstaat ist demnach unter dem Aspekt von Art. 5 AsylG rechtmässig.</w:t>
      </w:r>
    </w:p>
    <w:p>
      <w:r>
        <w:rPr>
          <w:b/>
        </w:rPr>
        <w:t>E. 5.2.2</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EMARK 2001 Nr. 16 S. 122, mit weiteren Hinweisen; EGMR, [Grosse Kammer], Saadi gegen Italien, Urteil vom 28. Februar 2008, Beschwerde Nr. 37201/06, §§ 124-127, mit weiteren Hinweisen). Auch die allgemeine Menschenrechtssituation in Bosnien und Herzegowina lässt den Wegweisungsvollzug zum heutigen Zeitpunkt nicht als unzulässig erscheinen. Der EGMR anerkennt im Weiteren grundsätzlich keinen durch die EMRK geschützten Anspruch auf Verbleib in einem Konventionsstaat, um weiterhin in den Genuss medizinischer, sozialer oder anderer Formen der Unterstützung zu kommen. Nur bei Vorliegen aussergewöhnlicher Umstände anerkennt der EGMR ausnahmsweise, dass bei einem kranken Ausländer der Vollzug einer Entfernungsmassnahme gegen Art. 3 EMRK verstossen könnte (vgl. Urteil des EGMR vom 27. Mai 2008 i.S. N. gegen Vereinigtes Königreich [Beschwerde Nr. 26565/05], Ziff. 42; vgl. auch EMARK 2005 Nr. 23 E. 5.1. S. 211 f.). Solche liegen in casu nicht vor (siehe E. 5.3.2.2).</w:t>
      </w:r>
    </w:p>
    <w:p>
      <w:r>
        <w:rPr>
          <w:b/>
        </w:rPr>
        <w:t>E. 5.2.3</w:t>
      </w:r>
    </w:p>
    <w:p>
      <w:r>
        <w:t>Nach dem Gesagten ist der Vollzug der Wegweisung sowohl im Sinne der asyl- als auch der völkerrechtlichen Bestimmungen zulässig.</w:t>
      </w:r>
    </w:p>
    <w:p>
      <w:r>
        <w:rPr>
          <w:b/>
        </w:rPr>
        <w:t>E. 5.3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5.3.1</w:t>
      </w:r>
    </w:p>
    <w:p>
      <w:r>
        <w:t>Hinsichtlich der angeblich ethnisch motivierten Schwierigkeiten der Beschwerdeführenden ist zunächst auf ein in Bosnien und Herzegowina im Mai 2003 erlassenes und in Kraft gesetztes Gesetz hinzuweisen, das die Rechte der nationalen Minderheiten und der Angehörigen ethnischer Minderheiten schützt. Angesichts dessen ist davon auszugehen, dass der Staat im Besonderen auch die Verbesserung der Lage der Roma anstrebt, weshalb die Beschwerdeführenden mit ihren Vorbringen den Wegweisungsvollzug nicht verhindern können. An dieser Einschätzung vermögen auch der zusammen mit der Beschwerde eingereichte Artikel aus der Neuen Zürcher Zeitung und der Bericht des Vereins "Romano Centro", Wien, nichts zu ändern, da sie lediglich die allgemeine Situation in Bosnien und Herzegowina beziehungsweise diejenige der dort lebenden Roma beschreiben, indessen keinen konkreten Bezug zu den Beschwerdeführenden aufweisen.</w:t>
      </w:r>
    </w:p>
    <w:p>
      <w:r>
        <w:rPr>
          <w:b/>
        </w:rPr>
        <w:t>E. 5.3.2</w:t>
      </w:r>
    </w:p>
    <w:p>
      <w:r>
        <w:t>Als weiteren Grund für eine vorläufige Aufnahme wurden gesundheitliche Probleme geltend gemacht. So führte der Beschwerdeführer aus, er habe Herz- und Nierenbeschwerden, psychische Probleme und leide an Cholesterin und Hüftschmerzen (vgl. Befragungsprotokoll vom 12. Januar 2010; A2, S. 4 und Anhörungsprotokoll vom 20. Januar 2010; A8, S. 3, F20 f.). Auch die Beschwerdeführerin gab an, Herz- und Nierenbeschwerden zu haben (vgl. Anhörungsprotokoll vom 20. Januar 2009 [recte: 2010]; A9, S. 2, F5).</w:t>
      </w:r>
    </w:p>
    <w:p>
      <w:r>
        <w:rPr>
          <w:b/>
        </w:rPr>
        <w:t>E. 5.3.2.1</w:t>
      </w:r>
    </w:p>
    <w:p>
      <w:r>
        <w:t>Diesbezüglich gilt es festzuhalten, dass bei einer medizinischen Notlage der Wegweisungsvollzug nur dann als unzumutbar zu qualifizieren ist, wenn eine notwendige medizinische Versorgung im Heimatland nicht zur Verfügung steht und die Rückkehr zu einer raschen und lebensgefährdenden Beeinträchtigung des Gesundheitszustands der betroffenen Person führt. Als wesentlich wird dabei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(EMARK 2003 Nr. 24 E. 5a und b).</w:t>
      </w:r>
    </w:p>
    <w:p>
      <w:r>
        <w:rPr>
          <w:b/>
        </w:rPr>
        <w:t>E. 5.3.2.2</w:t>
      </w:r>
    </w:p>
    <w:p>
      <w:r>
        <w:t>Im vorliegenden Fall lässt sich den Aussagen des Beschwerdeführers entnehmen, dass er bereits in Bosnien und Herzegowina im Spital und unter regelmässiger Arztkontrolle war (vgl. A2, S. 5; A8, S. 3, F16-17) sowie verschiedene Medikamente aus dem Heimatland in die Schweiz mitbrachte (vgl. A2, S. 5). Gleichermassen gab die Beschwerdeführerin zu Protokoll, in Bosnien und Herzegowina schon beim Arzt gewesen zu sein (vgl. A9, S. 2, F6-7). Angesichts dieser Umstände ist davon auszugehen, dass die medizinische Versorgung der Beschwerdeführenden in ihrer Heimat auch weiterhin gewährleistet ist. Der Beschwerdeführer machte ausserdem geltend, seine in Schweden lebende Mutter und zwei Brüder seien ihm bei der Deckung der medizinischen Behandlungskosten behilflich gewesen (vgl. A8, S. 3, F13 f.), und die Verwandten seiner Frau hätten ihn ebenfalls unterstützt (vgl. A8, S. 3, F17-18). Aufgrund dieser Solidarität darf auch bei allfälligen weiteren medizinischen Behandlungen von der finanziellen Unterstützung seitens der Verwandschaft ausgegangen werden. Letztlich haben die Beschwerdeführenden die Möglichkeit, allenfalls medizinische Rückkehrhilfe zu beantragen (Art. 75 der Asylverordnung 2 vom 11. August 1999 über Finanzierungsfragen [AsylV 2, SR 142.312]).</w:t>
      </w:r>
    </w:p>
    <w:p>
      <w:r>
        <w:rPr>
          <w:b/>
        </w:rPr>
        <w:t>E. 5.3.3</w:t>
      </w:r>
    </w:p>
    <w:p>
      <w:r>
        <w:t>Nach diesen Ausführungen steht somit fest, dass der Wegweisungsvollzug der Beschwerdeführenden nach Bosnien und Herzegowina insgesamt zumutbar ist.</w:t>
      </w:r>
    </w:p>
    <w:p>
      <w:r>
        <w:rPr>
          <w:b/>
        </w:rPr>
        <w:t>E. 5.4</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6</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sind die Kosten den Beschwerdeführenden aufzuerlegen (Art. 63 Abs. 1 und 5 VwVG), auf insgesamt Fr. 600.-- festzusetzen (Art. 16 Abs. 1 Bst. a VGG i.V.m. Art. 1-3 des Reglements vom 21. Februar 2008 über die Kosten und Entschädigungen vor dem Bundesverwaltungsgericht [VGKE, SR 173.320.2]) und mit dem am 15. März 2010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