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D-988/2022 vom 22. Februar 2022</w:t>
      </w:r>
    </w:p>
    <w:p>
      <w:r>
        <w:t>Bundesverwaltungsgericht, 2022-02-22, FR</w:t>
      </w:r>
    </w:p>
    <w:p>
      <w:r>
        <w:rPr>
          <w:b/>
        </w:rPr>
        <w:t xml:space="preserve">Quelle: </w:t>
      </w:r>
      <w:r>
        <w:t>https://mcp.opencaselaw.ch/entscheid/bvger_D-988_2022_d20220222</w:t>
      </w:r>
    </w:p>
    <w:p>
      <w:r>
        <w:t>FR: TAF D-988/2022 du 22 février 2022</w:t>
      </w:r>
    </w:p>
    <w:p>
      <w:r>
        <w:t>IT: TAF D-988/2022 del 22 febbraio 2022</w:t>
      </w:r>
    </w:p>
    <w:p>
      <w:pPr>
        <w:pStyle w:val="Heading2"/>
      </w:pPr>
      <w:r>
        <w:t>Regeste</w:t>
      </w:r>
    </w:p>
    <w:p>
      <w:r>
        <w:t>Asile (non-entr&amp;eacute;e en mati&amp;egrave;re / proc&amp;eacute;dure Dublin) et renvoi | Asile (non-entrée en matière / procédure Dublin) et renvoi; décision du SEM du 22 février 2022</w:t>
      </w:r>
    </w:p>
    <w:p>
      <w:pPr>
        <w:pStyle w:val="Heading2"/>
      </w:pPr>
      <w:r>
        <w:t>Erwägungen</w:t>
      </w:r>
    </w:p>
    <w:p>
      <w:r>
        <w:rPr>
          <w:b/>
        </w:rPr>
        <w:t>E. 33</w:t>
      </w:r>
    </w:p>
    <w:p>
      <w:r>
        <w:t>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qu’interjeté dans la forme (art. 52 al. 1 PA) et le délai (art. 108 al. 3 LAsi) prescrits par la loi, le recours est ainsi recevable, que, saisi d’un recours contre une décision de non-entrée en matière sur une demande d’asile, le Tribunal se limite à examiner le bien-fondé d’une telle décision (ATAF 2012/4 consid. 2.2 ; 2009/54 consid. 1.3.3 ; 2007/8 consid. 5), qu’il est renoncé à un échange d’écritures (art. 111a al. 1 LAsi), que, dans la décision attaquée, le SEM a retenu que le retour en Allemagne du recourant ne le mettrait pas dans une situation existentielle critique, qu’il n’y avait pas de défaillances systémiques dans ce pays et que les troubles de santé, dont il souffrait, pouvaient y être traités, que, dans son recours du 29 février 2022 (recte : 1er mars 2022), A._______ indique qu’il ne veut pas être transféré en Allemagne car les autorités allemandes l’ont maltraité, puis renvoyé en Italie, pays où il aurait vécu dans la rue et dont les autorités ne l’auraient pas pris en charge quand il était mineur, que, concernant son état de santé, il fait valoir, en sus de ses problèmes aux poumons, des souffrances sur le plan psychique du fait de sa vie difficile en Europe depuis 15 ans, précisant que sa sœur, qui se trouve en Suisse, pourrait lui apporter le soutien nécessaire pour qu’il se sente mieux,</w:t>
      </w:r>
    </w:p>
    <w:p>
      <w:r>
        <w:t>D-988/2022 Page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 comme en l’occurrence – il n’y a en principe aucun nouvel examen de la compétence selon le chapitre III (cf. ATAF 2017 VI/5 consid. 6.2 et 8.2.1 ainsi que réf. cit.),</w:t>
      </w:r>
    </w:p>
    <w:p>
      <w:r>
        <w:t>D-988/2022 Page 6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respectivement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ont révélé, suite à la consultation de l’unité centrale du système européen « Eurodac », le 19 janvier 2022, que A._______ avait déposé des demandes d’asile en Allemagne, les 6 mars 2017, 29 juin 2018 et 7 janvier 2021, que, le 17 février 2022, l’autorité de première instance a dès lors soumis aux autorités allemandes compétentes, dans le délai fixé à l’art. 23 par. 2</w:t>
      </w:r>
    </w:p>
    <w:p>
      <w:r>
        <w:t>D-988/2022 Page 7 du règlement Dublin III, une requête aux fins de reprise en charge, fondée sur l’art. 18 par. 1 point b du règlement Dublin III, que, le 21 février 2022, les autorités allemandes ont accepté de reprendre en charge le requérant, sur la base de l’art. 18 par. 1 point d du règlement Dublin III, que le susnommé n’a, à juste titre, pas invoqué dans le cadre de la présente procédure une mauvaise application des dispositions du règlement sur la détermination de l’Etat responsable (ATAF 2017 VI/9 consid. 5.3-5.4), qu’il n’a pas fait valoir, ni dans le cadre de l’instruction de sa demande d’asile ni dans le cadre de son recours (voir ci-dessus), d’élément de nature à étayer la compétence de la Suisse, voire d’un autre Etat, qu’il n’y a pas de raison sérieuse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(voir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qu’on ne saurait considérer qu’il apparaît au grand jour – sur la base de positions répétées et concordantes du Haut Commissariat des Nations</w:t>
      </w:r>
    </w:p>
    <w:p>
      <w:r>
        <w:t>D-988/2022 Page 8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encore qu’ils ne disposent pas d’un recours effectif, ni enfin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son recours, A._______ dit avoir été maltraité par les autorités en Allemagne, sans toutefois étayer ses propos par des moyens de preuve, que, lors de son entretien « Dublin », le prénommé s’est plaint de racisme en Allemagne, qu’il n’y a toutefois aucun indice au dossier laissant penser que le recourant a été maltraité par les autorités ou par des tiers en Allemagne, que, si cela devait toutefois être le cas, A._______ pourrait s’adresser aux instances compétentes, l’Allemagne étant un Etat de droit désireux et capable d’offrir la protection adéquate, que le prénommé a aussi invoqué divers troubles de santé, soit des problèmes aux poumons et des souffrances psychiques, pour lesquels sa sœur, qui habiterait en Suisse, pourrait lui apporter un soutien, que les problèmes pulmonaires sont étayés par deux rapports médicaux des 4 et 22 février 2022, mentionnant des douleurs au niveau des poumons après une infection au coronavirus ainsi qu’une dyspnée à l’effort chez un patient sportif et précisant qu’un suivi par un spécialiste n’est pas nécessaire, que le recourant n’a, par contre, pas fait valoir de troubles psychiques lors ses consultations médicales des 4 et 22 février 2022, alors que le SEM lui avait rappelé, lors de l’entretien « Dublin » du 2 février 2022, qu’il lui incombait de consulter l’infirmerie du centre fédéral pour toute atteinte à sa santé susceptible d’influer sur l’issue de sa procédure d’asile,</w:t>
      </w:r>
    </w:p>
    <w:p>
      <w:r>
        <w:t>D-988/2022 Page 9 qu’il faut relever, concernant la prétendue sœur du recourant qui se trouverait en Suisse, que la personne en charge de l’audition sur les données personnelles ne l’a pas trouvée dans SYMIC et que le recourant a déclaré, lors de cette même audition, ne pas encore l’avoir vue depuis son arrivée en Suisse, soit dans un laps de temps d’un mois et 20 jours (cf. ch. 3.01 et 5.03 du procès-verbal de l’audition du 21 janvier 2022), que le recourant se contente de mentionner dans son recours que cette sœur pourrait lui apporter le soutien nécessaire pour qu’il se sente mieux psychiquement et qu’il a besoin d’être auprès d’elle, mais ne mentionne pas ses coordonnées exactes, ni même s’il l’a rencontrée depuis, qu’ainsi, ni les troubles psychiques ni le besoin et la possibilité d’assistance allégués ne sont établis, qu’à supposer que le recourant souffre de troubles de santé nécessitant des soins, ceux-ci pourraient être traités en Allemagne, pays qui dispose de structures médicales similaires à celles existant en Suisse et où les médicaments nécessaires au traitement de troubles, notamment psychiques, sont également disponibles, qu’en effet, même si la directive Accueil ne trouve plus application en l’espèce, dès lors que l’intéressé a été débouté par les autorités allemandes et est tenu de retourner dans son pays d’origine (art. 3 par. 1 de ladite directive), l'assistance à laquelle il pourra prétendre jusqu’à l'exécution du renvoi relève du droit national allemand, qu’aucun élément concret ne permet de considérer que l’Allemagne refuserait, le cas échéant, au recourant l’accès aux soins en cas d’urgence ou de problèmes graves, que l'intéressé n'a donc pas établi qu’il ne serait pas en mesure de voyager ou que son transfert représenterait un danger concret pour sa santé et serait ainsi illicite au sens de l'art. 3 CEDH et de la jurisprudence restrictive applicable en la matière (cf. notamment l'arrêt de la CourEDH du 13 décembre 2016 en l'affaire Paposhvili c. Belgique [Grande Chambre], requête n° 41738/10, par. 181 à 183), que, par conséquent, le transfert de l'intéressé vers l’Allemagne n'est pas contraire aux obligations découlant de dispositions conventionnelles auxquelles la Suisse est liée, de sorte qu'il n'y a pas d’obligation pour la</w:t>
      </w:r>
    </w:p>
    <w:p>
      <w:r>
        <w:t>D-988/2022 Page 10 Suisse de faire application de la clause discrétionnaire de l'art. 17 par. 1 du règlement Dublin III, que le SEM a ainsi établi de manière complète et exacte l'état de fait pertinent et n'a par ailleurs – au vu du dossier et de la motivation de sa décision – commis ni excès ni abus de son large pouvoir d'appréciation en refusant d'admettre l'existence de raisons humanitaires au sens de l'art. 29a al. 3 OA 1 en combinaison avec l'art. 17 par. 1 du règlement Dublin III (cf. ATAF 2015/9 consid. 8), que, dans ces conditions, c’est à bon escient que le SEM n’est pas entré en matière sur cette demande d’asile, en application de l’art. 31a al. 1 let. b LAsi, et qu’il a prononcé le transfert (ou renvoi) de Suisse vers l’Allemagne, en application de l’art. 44 LAsi, aucune exception à la règle générale du renvoi n’étant réalisée (art. 32 OA 1), que, cela étant, les questions relatives à l’existence d’un empêchement à l’exécution du transfert pour des raisons tirées de l’art. 83 al. 2 à 4 LEI (RS 142.20) ne se posent plus séparément, vu qu’elles sont indissociables du prononcé de la non-entrée en matière (cf. ATAF 2015/18 consid. 5.2 et réf. cit.), qu’au vu de ce qui précède, le recours doit être rejeté, que, s’avérant manifestement infondé, il l’est dans une procédure à juge unique, avec l’approbation d’un second juge (art. 111 let. e LAsi), que le présent arrêt rend sans objet les requêtes du recourant relatives à des mesures provisionnelles, à l’octroi de l’effet suspensif et à la dispense du versement d’une avance de frais, que les conclusions du recours étant d’emblée vouées à l’échec, la requête d’assistance judiciaire totale est rejetée (art. 65 al. 1 PA et art. 102m al. 1 let. a et al. 4 LAsi),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D-988/2022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