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D-984/2022 vom 27. September 2023</w:t>
      </w:r>
    </w:p>
    <w:p>
      <w:r>
        <w:t>Bundesverwaltungsgericht, 2023-09-27, IT</w:t>
      </w:r>
    </w:p>
    <w:p>
      <w:r>
        <w:rPr>
          <w:b/>
        </w:rPr>
        <w:t xml:space="preserve">Quelle: </w:t>
      </w:r>
      <w:r>
        <w:t>https://mcp.opencaselaw.ch/entscheid/bvger_D-984_2022</w:t>
      </w:r>
    </w:p>
    <w:p>
      <w:r>
        <w:t>FR: TAF D-984/2022 du 27 septembre 2023</w:t>
      </w:r>
    </w:p>
    <w:p>
      <w:r>
        <w:t>IT: TAF D-984/2022 del 27 settembre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Il Tribunale giudica nella composizione di tre giudici (art. 21 cpv. 1 LTAF).</w:t>
      </w:r>
    </w:p>
    <w:p>
      <w:r>
        <w:t>D-984/2022 Pagina 5</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4.1</w:t>
      </w:r>
    </w:p>
    <w:p>
      <w:r>
        <w:t>Gli insorgenti, nel loro ricorso, lamentano dapprima un accertamento incompleto dei fatti circa il profilo medico dell’insorgente 1, in quanto l’au- torità inferiore non avrebbe atteso il completamento dell’istruzione e non avrebbe disposto la redazione di un rapporto medico di dettaglio (F4). In tal senso, l’autorità di prime cure non avrebbe neppure accertato in modo sufficiente lo stato di salute della ricorrente 2. Inoltre, la SEM avrebbe ac- certato in modo incompleto ed inesatto la situazione del sistema d’acco- glienza croato, che presenterebbe carenze sistemiche, segnatamente in rapporto all’uso della violenza da parte delle autorità croate. Dipoi, gli inte- ressati lamentano una violazione del diritto di essere sentito, in quanto agli atti dell’autorità inferiore non sarebbero stati presenti gli accertamenti ef- fettuati dalla SEM presso l’ambasciata svizzera in Croazia. Inoltre, l’auto- rità di prime cure non si sarebbe espressa sui mezzi di prova prodotti dai ricorrenti e accertanti la loro presenza in Slovenia. La SEM non avrebbe infine analizzato in alcun modo il benessere superiore dei minori in rela- zione al loro rientro in Croazia.</w:t>
      </w:r>
    </w:p>
    <w:p>
      <w:r>
        <w:rPr>
          <w:b/>
        </w:rPr>
        <w:t>E. 4.2</w:t>
      </w:r>
    </w:p>
    <w:p>
      <w:r>
        <w:t>Le succitate censure formali, in ordine ad un accertamento inesatto ed incompleto dei fatti giuridicamente rilevanti da parte dell’autorità inferiore, oltre che ad una violazione del diritto di essere sentito, verranno esaminate d’ingresso dal Tribunale, in quanto sono suscettibili di condurre all’annulla- mento della decisione avversata (cfr. DTF 144 I 11 consid. 5.3 e rif. ivi citati, 142 II 218 consid. 2.8.1 e rif. cit., 138 I 232 consid. 5; DTAF 2019 VI/6 con- sid. 4.1, 2013/34 consid. 4.2, 2013/23 consid. 6.1.3).</w:t>
      </w:r>
    </w:p>
    <w:p>
      <w:r>
        <w:rPr>
          <w:b/>
        </w:rPr>
        <w:t>E. 4.3</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w:t>
      </w:r>
    </w:p>
    <w:p>
      <w:r>
        <w:t>D-984/2022 Pagina 6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4.4</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 plicazione della norma giuridica (cfr. KRAUSKOPF/EMMENEGGER/BABEY in: WALDMANN/WEISSENBERGER [ed.], Praxiskommentar VwVG, 2a ed. 2016, n. 17 ad art. 12 PA). Fatti che non sono rilevanti per la decisione, che l’au- torità è convinta siano già stati provati o che si presumono veri a favore delle parti interessate non impongono lo svolgimento di indagini supple- 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MOSER/BEUSCH/KNEUBÜHLER/KAYSER, Prozessieren vor dem Bun- desverwaltungsgericht, 3a ed. 2022, n. 3.144, pag. 241).</w:t>
      </w:r>
    </w:p>
    <w:p>
      <w:r>
        <w:rPr>
          <w:b/>
        </w:rPr>
        <w:t>E. 4.5</w:t>
      </w:r>
    </w:p>
    <w:p>
      <w:r>
        <w:t>Così, sebbene nel diritto amministrativo la parte abbia di principio il di- ritto di richiedere l’assunzione di prove all’autorità (art. 33 cpv. 1 PA), una tale richiesta deve vertere su fatti suscettibili d’influenzare l’esito della pro- cedura e che non si evincono già dall’incarto (cfr. DTF 131 I 153 consid. 3; sentenze del Tribunale D-291/2021 consid. 7.3.2, A-3056/2015 del 22 di- 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TF 1C_179/2014 del 2 settembre 2014 consid. 3.2; sentenza del Tribunale A-6515/2010 del 19 maggio 2011 consid. 4.3; THIERRY TANQUEREL, Manuel de droit administratif, 2011, n. 1552 con rinvii). Procedendo in tal senso in modo non arbitrario, l’auto- rità può porre un termine all’istruzione (cfr. DTF 133 II 384 consid. 4.2.3</w:t>
      </w:r>
    </w:p>
    <w:p>
      <w:r>
        <w:t>D-984/2022 Pagina 7 con rinvii; sentenza del TF 2C_720/2010 del 21 gennaio 2011 con- sid. 3.2.1; sentenze del Tribunale D-6763/2018 dell’11 giugno 2020 con- sid. 9 e A-7392/2014 dell’8 agosto 2016 consid. 3.4.2.2).</w:t>
      </w:r>
    </w:p>
    <w:p>
      <w:r>
        <w:rPr>
          <w:b/>
        </w:rPr>
        <w:t>E. 4.6</w:t>
      </w:r>
    </w:p>
    <w:p>
      <w:r>
        <w:t>I principi sopra esposti delimitano sia l’attività istruttoria dell’ammini- strazione che quella del Tribunale (cfr. DTAF 2019 I/6 consid. 5; sentenza del Tribunale F-5065/2019 del 21 gennaio 2021 consid. 5.3; MOSER/ BEUSCH/KNEUBÜHLER, op. cit., in particolare 3.144, pag. 241) e tornano ap- plicabili anche nel contesto del chiarimento delle questioni di natura medica (cfr. le sentenze del Tribunale D-114/2021 dell’11 maggio 2021 consid. 4.4, D-291/2021 consid. 7.3.3 e D-1665/2018 del 27 gennaio 2021 consid. 8.3.5).</w:t>
      </w:r>
    </w:p>
    <w:p>
      <w:r>
        <w:rPr>
          <w:b/>
        </w:rPr>
        <w:t>E. 4.7</w:t>
      </w:r>
    </w:p>
    <w:p>
      <w:r>
        <w:t>Nel suo messaggio relativo al riassetto del settore, il Consiglio federale sottolineava come l’assistenza sanitaria per i richiedenti l’asilo dovesse es- sere garantita mediante consultazioni mediche in loco, possibilità di tratta- mento ambulatoriale in ospedale o una visita medica in caso di necessità (cfr. Messaggio concernente la modifica della legge sull’asilo del 3 settem- bre 2014, FF 2014 6917, 6940). Nella prassi, nel caso in cui il personale curante / servizio di assistenza reindirizzi il richiedente l’asilo presso un medico esterno, quest’ultimo allestisce, di norma, un breve referto nella forma di un “formulario F2”. Qualora la documentazione agli atti non per- metta di determinare in modo completo i fatti giuridicamente rilevanti, la SEM ordina di principio un rapporto più dettagliato, e meglio, la compila- zione di un “formulario F4” da parte del curante. Nulla vieta inoltre al ricor- rente di presentare ulteriori mezzi di prova al soggetto rispettivamente di rivolgersi autonomamente ad un medico (cfr. sentenze del Tribunale D-114/2021 consid. 4.5 e D-291/2021 consid. 7.3.4). Di principio, le auto- rità svizzere non sono dal canto loro tenute a prendere in considerazione il potenziale insorgere di ulteriori affezioni non ancora diagnosticate o so- spettate, essendo determinante lo stato di fatto presente al momento della decisione (cfr. DTAF 2012/21 consid. 5.1; 2010/44 consid. 3.6). Nel caso in parola, il Tribunale osserva che al momento dell’emissione della decisione impugnata l’incarto della SEM conteneva già ampia docu- mentazione medica attinente alla situazione valetudinaria dei ricorrenti e pertanto non vi era alcuna obbligazione di istruire maggiormente la situa- zione medica degli interessati. Pertanto, il fatto solo che i ricorrenti nel gra- vame non concordino con l’apprezzamento esposto dall’autorità inferiore nel provvedimento sindacato, non risulta contrario al principio inquisitorio. Piuttosto, anche con tale censura in realtà gli insorgenti intendono ottenere</w:t>
      </w:r>
    </w:p>
    <w:p>
      <w:r>
        <w:t>D-984/2022 Pagina 8 un apprezzamento differente nel merito rispetto a quello di cui all’impu- gnata decisione riguardo sia alla competenza della Croazia nella tratta- zione del seguito della procedura d’asilo dei ricorrenti – comprensiva la questione dell’asserita procedura di ripresa in carico formulata dalle auto- rità slovene - sia riguardo all’applicazione della clausola di sovranità e alla presenza di carenze sistemiche nel sistema d’accoglienza croato. Queste ultime questioni verranno dunque esaminate di seguito. Pertanto, tali cen- sure, dal profilo formale, sono da respingere.</w:t>
      </w:r>
    </w:p>
    <w:p>
      <w:r>
        <w:rPr>
          <w:b/>
        </w:rPr>
        <w:t>E. 4.8</w:t>
      </w:r>
    </w:p>
    <w:p>
      <w:r>
        <w:t>Invece, per quanto concerne la censura relativa alla violazione del di- ritto di essere sentito vista la mancata presenza agli atti della presa di po- sizione dell’Ambasciata svizzera in Croazia citata dalla SEM nella deci- sione avversata, si rileva che l’autorità inferiore ha trasmesso durante la fase istruttoria la versione anonimizzata del rapporto d’Ambasciata relativo alla situazione del sistema d’asilo croato più aggiornato. In ogni caso, nel presente procedimento non sono state effettuate indagini individuali da parte dell’Ambasciata, motivo per il quale non vi erano documenti specifici nell’incarto della SEM che avrebbero potuto essere consultati. Non si rav- visa pertanto una violazione del diritto alla consultazione degli atti.</w:t>
      </w:r>
    </w:p>
    <w:p>
      <w:r>
        <w:rPr>
          <w:b/>
        </w:rPr>
        <w:t>E. 4.9</w:t>
      </w:r>
    </w:p>
    <w:p>
      <w:r>
        <w:t>Oltre a ciò, i ricorrenti ritengono che l’autorità inferiore non avrebbe te- nuto in debita considerazione l’interesse dei ricorrenti minorenni ai sensi della Conv. fanciullo. Poiché anche tale censura riguarda in realtà anche aspetti materiali e non formali, il Tribunale tratterà la medesima in seguito. Ne discende che, le censure mosse dal profilo formale da parte degli insor- genti, nel senso di un accertamento inesatto ed incompleto dei fatti giuridi- camente rilevanti da parte della SEM, sono in toto respinte.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 dere in carico, alle condizioni poste agli art. 23, 24, 25 e 29, il richiedente la cui domanda è in corso d’esame e che ha presentato domanda in un</w:t>
      </w:r>
    </w:p>
    <w:p>
      <w:r>
        <w:t>D-984/2022 Pagina 9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Croazia il (…) novembre 2021 (cfr. atti SEM n. 30/1, 32/1 e 34/1). Nell’am- bito dei colloqui Dublino effettuati dai ricorrenti, questi ultimi non hanno ne- gato di aver depositato una domanda d’asilo in Croazia, ma unicamente di non aver svolto la procedura, contrariamente a quanto sollevato in sede ricorsuale (cfr. atti SEM n. 48/6, 50/4 e 53/3) ed hanno altresì indicato di essere transitati dalla Slovenia, producendo della documentazione com- provante il loro passaggio da tale Paese (cfr. atto SEM n. 52/4). Su tali presupposti, in data (…) gennaio 2022 la SEM ha presentato due domande di ripresa in carico sulla scorta dell’art. 18 par. 1 lett. b RD III alle omologhe croate, indicando espressamente che i richiedenti sono una famiglia e che gli stessi sarebbero transitati dalla Slovenia dopo aver lasciato la Croazia (cfr. atti SEM n. 55/5 e 56/5). Quest’ultima autorità, ha esplicitamente ac- colto la richiesta di ripresa in carico di tutti i ricorrenti in data (…) gennaio 2022, quindi entro il termine previsto all’art. 25 par. 1 RD III, fondandosi sull’ art. 20 par. 5 RD III (cfr. atti SEM n. 62/2 e 101/2). A tali condizioni, la Croa- zia è quindi tenuta, in principio, a riprendere in carico gli insorgenti, al fine di determinare la competenza per la trattazione della domanda d’asilo.</w:t>
      </w:r>
    </w:p>
    <w:p>
      <w:r>
        <w:rPr>
          <w:b/>
        </w:rPr>
        <w:t>E. 5.3</w:t>
      </w:r>
    </w:p>
    <w:p>
      <w:r>
        <w:t>Le censure sollevate in sede ricorsuale non sono atte ad inficiare la predetta conclusione. Difatti, in merito, i ricorrenti lamentano il fatto per cui le autorità croate avrebbero negato una richiesta di ripresa in carico da parte delle autorità slovene. Di tale aspetto non vi è tuttavia comprova nell’investigazione “Eurodac” ed inoltre ciò risulta inconferente al fine di de- terminare la competenza ai sensi del Regolamento Dublino, in quanto è incontestato che il primo Paese dello Spazio Dublino in cui i ricorrenti sono stati registrati è la Croazia. Inoltre, quest’ultima ha accettato la ripresa in carico, anche essendo stata espressamente informata dalla SEM che i ri- correnti si sono trattenuti in Slovenia. In tal senso, all’autorità inferiore non incombeva alcun ulteriore obbligo istruttorio, nemmeno per quanto con- cerne l’asserita mancata registrazione dei ricorrenti da parte delle autorità slovene. Invece, per quanto attiene l’accettazione della ripresa in carico degli interessati sulla scorta dell’art. 20 par. 5 RD III, come correttamente rilevato dall’autorità inferiore nel proprio scritto del 31 gennaio 2023, ciò implica che gli interessati abbiano effettivamente depositato una domanda d’asilo in Croazia. Le autorità croate, inoltre, nella propria accettazione di</w:t>
      </w:r>
    </w:p>
    <w:p>
      <w:r>
        <w:t>D-984/2022 Pagina 10 ripresa in carico, hanno indicato che le procedure che interessano gli in- sorgenti sono ancora in corso (cfr. atti SEM n. 62/2 e 101/2). Gli interessati, inoltre, lamentano che le domande di ripresa in carico da parte della SEM sono state formulate separatamente per i due coniugi. A differenza di quanto sostenuto nel gravame dai ricorrenti, non si intravvede in specie alcun rischio di separazione del nucleo famigliare con il trasferimento in Croazia unicamente per la presenza di due domande e due risposte sepa- rate per la ripresa in carico dei ricorrenti. Si osserva in tal senso che l’au- torità di prime cure ha specificato nelle rispettive prese a carico che si tratta di un nucleo familiare (cfr. atti SEM n. 55/5 e 56/5). Pertanto, a ragione la SEM ha ritenuto data la competenza delle autorità croate per la trattazione della domanda d’asilo degli insorgenti.</w:t>
      </w:r>
    </w:p>
    <w:p>
      <w:r>
        <w:rPr>
          <w:b/>
        </w:rPr>
        <w:t>E. 5.4</w:t>
      </w:r>
    </w:p>
    <w:p>
      <w:r>
        <w:t>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 tente.</w:t>
      </w:r>
    </w:p>
    <w:p>
      <w:r>
        <w:rPr>
          <w:b/>
        </w:rPr>
        <w:t>E. 5.5</w:t>
      </w:r>
    </w:p>
    <w:p>
      <w:r>
        <w:t>Agli occhi del Tribunale, nonostante le prese di posizione critiche di numerosi organismi – in particolare del Consiglio d’Europa – in materia, il sistema d’asilo e d’accoglienza croato non presenta delle carenze sistemi- che, rispettivamente dei rischi avverati di push-back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D-440/2023 del 7 feb- braio 2023 consid. 5.5 con ulteriori rif. cit.; D-407/2023 del 1° febbraio 2023 consid. 7.2; D-5838/2022 del 9 gennaio 2023 consid. 5.5; cfr. anche la sen- tenza di riferimento del Tribunale E-1488/2020 del 22 marzo 2023 con- sid. 9.5). Le censure sollevate in sede ricorsuale, anche con riferimento ai propri timori e a rapporti di organizzazioni non governative, non permettono di giungere ad un apprezzamento diverso da quanto sopra esposto. Non è inoltre evincibile né dagli atti all’incarto né dal gravame alcun indizio serio e concreto suscettibile di dimostrare che lo Stato di destinazione non ri- spetterebbe il principio del divieto di respingimento e, dunque, verrebbe meno ai suoi obblighi internazionali rinviando i ricorrenti in un paese dove</w:t>
      </w:r>
    </w:p>
    <w:p>
      <w:r>
        <w:t>D-984/2022 Pagina 11 la loro vita, integrità corporale o libertà sarebbero seriamente minacciate o da dove rischierebbero di essere respinti in un tale paese.</w:t>
      </w:r>
    </w:p>
    <w:p>
      <w:r>
        <w:rPr>
          <w:b/>
        </w:rPr>
        <w:t>E. 5.6</w:t>
      </w:r>
    </w:p>
    <w:p>
      <w:r>
        <w:t>Su tali presupposti, l’applicazione dell’art. 3 par. 2 2a frase RD III non si giustifica nel caso di specie.</w:t>
      </w:r>
    </w:p>
    <w:p>
      <w:r>
        <w:rPr>
          <w:b/>
        </w:rPr>
        <w:t>E. 6.1</w:t>
      </w:r>
    </w:p>
    <w:p>
      <w:r>
        <w:t>Nel prosieguo, occorre esaminare se, come richiesto dai ricorrenti nel gravame, malgrado la competenza di principio della Croazia, l’autorità in- feriore debba esaminare la domanda di protezione internazionale dei ri- 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 zione di tale norma, la SEM dispone di potere di apprezzamento (cfr.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w:t>
      </w:r>
    </w:p>
    <w:p>
      <w:r>
        <w:rPr>
          <w:b/>
        </w:rPr>
        <w:t>E. 6.2</w:t>
      </w:r>
    </w:p>
    <w:p>
      <w:r>
        <w:t>Gli insorgenti, nel loro ricorso e nei successivi scritti, si prevalgono dello stato di salute degli insorgenti 1 e 2, come pure delle violenze subite in Croazia, per rinunciare al loro trasferimento applicando la clausola di so- vranità succitata. In tal senso, essi ritengono come le violenze che avreb- bero perpetrato le autorità croate, evidenzierebbero delle criticità tali da rientrare nell’applicazione dell’art. 3 CEDU e dell’art. 4 della Carta UE. Inol- tre, gli interessati hanno lamentato lo stato deplorevole in cui verserebbero i centri d’accoglienza in cui sono stati alloggiati durante la loro permanenza in Croazia.</w:t>
      </w:r>
    </w:p>
    <w:p>
      <w:r>
        <w:rPr>
          <w:b/>
        </w:rPr>
        <w:t>E. 6.3</w:t>
      </w:r>
    </w:p>
    <w:p>
      <w:r>
        <w:t>Nel caso in esame i maltrattamenti che i ricorrenti hanno addotto di aver subito in Croazia da parte di agenti di polizia non risultano conferenti dal profilo della conformità del trasferimento dei richiedenti in relazione agli art. 3 CEDU, art. 4 Carta UE o all’art. 3 della Convenzione contro la tortura ed altre pene o trattamenti crudeli, inumani o degradanti del 10 dicem- bre 1984 (RS 0.105, Conv. tortura), in quanto non esiste alcuna ragione seria e concreta di ritenere che un trasferimento a Zagabria degli insorgenti rischierebbe di esporli ad una situazione simile a quella nella quale si sa- rebbero trovati in quanto persone straniere in situazione irregolare su suolo</w:t>
      </w:r>
    </w:p>
    <w:p>
      <w:r>
        <w:t>D-984/2022 Pagina 12 croato nella zona di frontiera. Inoltre il Tribunale non ha alcuna ragione – neppure considerando quanto riportato nel ricorso dagli insorgenti – di met- tere in dubbio che la Croazia sia uno Stato di diritto, con un sistema di giustizia funzionante, al quale gli insorgenti potranno indirizzarsi per de- nunciare l’agito di alcuni funzionai di polizia nei loro confronti o se in futuro i loro diritti non venissero rispettati (art. 26 direttiva 2013/33/UE del Parla- mento europeo e del Consiglio del 26 giugno 2013 recante norme relative all’accoglienza dei richiedenti protezione internazionale [di seguito: diret- tiva accoglienza]), anche con l’eventuale aiuto di organizzazioni non gover- native presenti su suolo croato. In secondo luogo, nel caso in esame, i ricorrenti non hanno dimostrato in alcun modo, con degli elementi concreti e circostanziati, né è desumibile dagli atti all’inserto, che lo Stato di destinazione, che ha accettato espres- samente la loro ripresa in carico, non sia intenzionato a riprenderli in carico ed a portare a termine correttamente la procedura relativa alla loro do- manda di protezione in violazione della direttiva 2013/32/UE del Parla- mento e del Consiglio del 26 giugno 2013 recante procedure comuni ai fini del riconoscimento e della revoca dello status di protezione internazionale (di seguito: direttiva procedura), o ancora che loro non avrebbero avuto accesso alla procedura d’asilo in Croazia in passato o non l’avranno in fu- turo. Non si evince peraltro né dagli atti all’incarto né dal gravame,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6.4</w:t>
      </w:r>
    </w:p>
    <w:p>
      <w:r>
        <w:t>I ricorrenti, i quali hanno trascorso in totale circa 25 giorni in Croazia (di cui una parte in quarantena viste le misure di contenimento COVID-19) in un campo per richiedenti l’asilo, non hanno del resto allegato né apportato alcun indizio oggettivo, serio e concreto che sarebbero privati durevol- mente, in tale Paese, di ogni accesso alle condizioni materiali d’acco- glienza previste dalla direttiva 2013/33/UE del Parlamento europeo e del Consiglio del 26 giugno 2013 recante norme relative all’accoglienza dei ri- 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t>D-984/2022 Pagina 13</w:t>
      </w:r>
    </w:p>
    <w:p>
      <w:r>
        <w:rPr>
          <w:b/>
        </w:rPr>
        <w:t>E. 6.5.1</w:t>
      </w:r>
    </w:p>
    <w:p>
      <w:r>
        <w:t>In merito allo stato di salute dei ricorrenti, si osserva dapprima come il respingimento forzato di persone che soffrono di problemi medici, costi- tuisce una violazione dell’art. 3 CEDU unicamente in circostanze eccezio- nali (cfr. sentenze della Corte europea dei diritti dell’uomo [di seguito: CorteEDU] N. contro Regno Unito del 27 maggio 2008, 26565/05; Paposh- vili contro Belgio del 13 dicembre 2016, 41738/10, §181 segg.; DTAF 2011/9 consid. 7.1). Per quanto concerne lo stato valetudinario dell’insorgente 1, si constata che nell’ambito del colloquio Dublino, egli ha allegato di avere problemi psicologici. Dagli atti all’incarto, è poi desumibile come egli abbia effettuato diverse visite mediche, lamentando cefalea ed insonnia, causate da abusi fisici subiti in Turchia, per cui gli erano stati prescritti inizialmente Reba- lance e Stilnox ed in seguito Trittico (cfr. atti SEM n. 61/2 e 74/2). Il medico curante ha inizialmente atteso prima di predisporre una presa a carico psi- cologica (cfr. atto SEM n. 80/2). In seguito, il medico curante ha predisposto per l’interessato 1 un consulto psicologico/psichiatrico (cfr. atto SEM n. 106/2). Durante il consulto psichiatrico presso la clinica LUPS a Sarnen, i medici specialisti hanno posto le diagnosi di disturbo dell’adattamento (F43.2) e di disturbo post traumatico da stress (F43.1), mentre è stata im- postata una terapia farmacologica con Mirtazapin; in seguito il medico cu- rante ha discusso nuovamente la terapia consigliata dagli specialisti, in quanto l’interessato si è rifiutato di assumerla (cfr. atti SEM n. 109/3 e 113/2). A seguito di problematiche legate al sonno, il medico curante ha aggiunto alla terapia farmacologico Trimipramin (cfr. atto SEM n. 118/2). Dipoi, l’interessato 1 ha lamentato problematiche relative a sanguinamenti durante attacchi di tosse, per cui il medico curante, vista altresì la diagnosi di tubercolosi avvenuta 6 o 7 anni prima, ha predisposto una visita specia- listica di pneumologia (cfr. atto SEM n. 119/2). Questi ultimi specialisti hanno ipotizzato quale causa della tosse un’asma bronchiale e proposto di procedere con inalazioni ad esempio con Symbicort, mentre non hanno fissato ulteriori visite mediche per tale problematica (cfr. atto SEM n. 124/2). A seguito della richiesta di un aggiornamento dello stato di salute dei ricorrenti da parte del Tribunale, il medico curante ha redatto, in data 29 dicembre 2022 un certificato in cui viene indicato che il ricorrente 1 sof- fre di depressione e PTSD, per cui una terapia psicoterapeutica non era ancora iniziata e per cui assume una terapia farmacologica, inoltre l’inte- ressato 1 soffrirebbe di una perdita dell’udito non acuta (cfr. risultanze istruttorie). Nel frattempo i ricorrenti hanno trasmesso uno scritto con cui indicavano che una visita psichiatrica era stata fissata in data 23 giugno 2023, tuttavia nel frattempo non sono giunti ulteriori certificati medici. Ne</w:t>
      </w:r>
    </w:p>
    <w:p>
      <w:r>
        <w:t>D-984/2022 Pagina 14 discende pertanto che lo stato di salute di quest’ultimo possa essere rite- nuto stabile, con diagnosi chiare e una terapia farmacologica impostata e pertanto le valutazioni effettuate dall’autorità inferiore in proposito risultano tutt’ora corrette. Per quanto concerne la ricorrente 2, ella ha dichiarato nell’ambito del col- loquio Dublino di soffrire psicologicamente, di aver carenze a livello san- guineo, di avere eczemi su mani e piedi, di soffrire di mal di denti e di avere problematiche cardiache. Dagli atti all’incarto emerge che alla stessa è stata diagnosticata un’anemia e una probabile iperidrosi a mani e piedi, oltre che noduli tiroidei da indagare e per le quali le è stato prescritto Xyzal, Dermocortal, Prurimed e Tardyferon (cfr. atto SEM n. 64/3). In seguito la stessa è stata sottoposta a controlli specialistici che hanno condotto alla somministrazione di ferro per via endovenosa, alla prescrizione di vitamina D3 e Excipial Kerasal (cfr. atti SEM n. 75/2, 79/2 e 81/2). In seguito, durante una visita ginecologica, non sono state riscontrate particolari anomalie ad eccezione di una menorragia e pertanto il medico ha effettuato una infu- sione di ferritina all’interessata e le ha prescritto acido mefenamico e un medicamento per il forte sanguinamento mestruale (cfr. atto SEM n. 90/2). In seguito, durante una successiva visita presso il medico curante, quest’ul- timo non ha rilevato alcuna problematica cardiaca, lamentata dalla ricor- rente e pertanto non ordina alcun nuovo approfondimento specialistico in merito. In tale sede il medico ha rilevato una Pitiriasi versicolor, da curare tramite shampoo Ketoconazol (cfr. atto SEM n. 96/2). Successivamente, la ricorrente 2 si è sottoposta ad una visita specialistica al fine di investigare i noduli alla tiroide, durante la quale tuttavia non è emerso alcun problema particolare. Il medico ha prescritto tuttavia il farmaco Esomeprazol per un mese (cfr. atto SEM n. 111/1). Dipoi, il medico curante, ha ordinato una visita specialistica cardiologica, dato che la ricorrente 2 ha lamentato una precordialgia (cfr. atto SEM n. 115/2). Durante il successivo controllo spe- cialistico circa i noduli alla tiroide non sono emerse particolari problemati- che, nonostante la ricorrente 2 lamentasse dolori alla gola, pertanto i me- dici hanno suggerito degli approfondimenti gastroenterologici (cfr. atto SEM n. 117/1). Successivamente la ricorrente 2 si è sottoposta ad una vi- sita specialistica presso un reumatologo, che tuttavia non è riuscito a de- terminare la causa della formazione dei noduli, prescrivendo Vimovo per 14 giorni (cfr. atto SEM n. 127/4). Invece, durante la visita specialistica in cardiologia, è stato rilevato che le problematiche lamentate dalla ricorrente 2 sono probabilmente di origine extracardiaca (cfr. atto SEM n. 129/3). In seguito, l’insorgente 2 è stata ricoverata d’urgenza a causa di una fibrilla- zione atriale parossistica (cfr. atto SEM n. 134/2). Durante le successive visite presso il medico curante è stato prescritto Relaxane e Perinodipril,</w:t>
      </w:r>
    </w:p>
    <w:p>
      <w:r>
        <w:t>D-984/2022 Pagina 15 per lo stato di tensione (cfr. atto SEM n. 139/2). In seguito la ricorrente 2 è stata visitata da un medico a causa di attacchi di vomito continui, per una sospetta gastrite è stato prescritto Pantozol (cfr. atto SEM n. 142/2). A se- guito della richiesta di un aggiornamento dello stato di salute dei ricorrenti da parte del Tribunale, il medico curante ha redatto, in data (…) gennaio 2023 un certificato in cui viene indicato che la ricorrente 2 ha effettuato una gastroscopia ed ha seguito una terapia di eradicazione di H-Pylori ed i sin- tomi sono leggermente migliorati, inoltre la stessa si sottopone regolar- mente ad infusioni di ferro. L’interessata 2 soffre di tensione psicologica, ma si distanzia chiaramente dal suicidio. Una terapia psichiatrica non ha potuto essere iniziata in quanto vi è una lunga lista d’attesa. Senza una terapia medica, le problematiche dell’insorgente 2 peggiorerebbero con alta probabilità (cfr. risultanze istruttorie). La rappresentante legale, in data (…) febbraio 2023, (…) marzo 2023 e (…) giugno 2023 ha aggiornamento lo stato di salute della ricorrente 2, la quale soffre di tensione massiccia nella schiena, eczema disidrosico e atto di panico. La terapia farmacolo- gica impostata prevede Quetiapin, Escitalopram, Relaxane, Pantoprazol, Vitamina D3, oltre che in riserva Iberogast, Elocom, Rheumalix e Cykolka- pron. Inoltre l’interessata 2 ha ripreso le sedute di fisioterapia ed ha fissato un appuntamento in data 19 giugno 2023 presso l’ambulatorio psichiatrico (…) per una valutazione del suo stato di salute psicologico. In data (…) giugno 2023, l’ambulatorio psichiatrico LUPS ha redatto un rapporto dal quale emerge la diagnosi principale di episodio depressivo di media inten- sità (disturbo depressivo ricorrente) e la diagnosi secondaria di disturbo post-traumatico da stress. Gli specialisti hanno raccomandato un inter- vento di crisi con ricovero in una clinica femminile. Una verifica della poso- logia medica dovrebbe avvenire in un contesto di ricovero protetto (cfr. ri- sultanze istruttorie). In data (…)agosto 2023, la ricorrente 2 è stata visitata al pronto soccorso e le è stato diagnosticato un “Psychischer Ausnahme- zustand” con iperventilazione. L’interessata ha saputo distanziarsi chiara- mente da pensieri suicidi, utilizzati come minaccia nei confronti del marito. I medici non hanno reputato necessarie ulteriori misure mediche (cfr. risul- tanze istruttorie). Il seguente (…) agosto 2023, durante la visita dal medico internista, l’insorgente ha lamentato bruciori ai piedi, alle mani, allo sto- maco e dolori alla schiena. Avrebbe inoltre difficoltà respiratorie, non avrebbe energie, non riuscirebbe a cucinare e a prendersi cura dei figli, come pure il marito. Da tempo non assumerebbe più i farmaci prescritti, in quanto li avrebbe terminati. La diagnosi posta è quella di depressione con somatizzazione. L’insorgente rifiuta un ricovero per via dei bambini. Il me- dico ha impostato la seguente terapia medicamentosa: Becozym forte, Symbicort, Duloxetin, Quetiapin, Relaxane, Pantoprozol, Vitamina D3 Streuli ed i seguenti medicamenti in riserva: Magnesium diasporal, Riopan,</w:t>
      </w:r>
    </w:p>
    <w:p>
      <w:r>
        <w:t>D-984/2022 Pagina 16 Iberogast Tinkt, Elocom Salbe, Rheumalix forte, Cyklokaprom (cfr. risul- tanze istruttorie). Ad oggi non sono pervenuti ulteriori aggiornamenti circa lo stato della ricorrente 2. Ne può quindi discendere come anche lo stato di salute dell’insorgente sia chiarito ed una terapia farmacologica impo- stata. In rapporto all’insorgente 3, si rileva come dagli atti risulta che il medesimo, durante il colloquio ha lamentato una ferita al naso e di aver paura di dover tornare in Croazia (cfr. atto SEM n. 53/3). Dagli atti all’incarto emerge che egli sia stato curato per tonsillite curata con sciroppo Amoxcillin e per sin- tomi influenzali curati con Algifor sciroppo e Rinosedin (cfr. atti SEM n. 82/2, 85/2, 91/2 e 97/2). L’interessato 3 si è poi procurato una distorsione al polso cadendo, ma una frattura è stata esclusa dal medico (cfr. atto SEM n. 108/1). Dalle successive visite mediche è stata diagnosticata insonnia do- vuta a PTSD, oltre che una sospetta rinite ed anemia. Egli sarebbe inoltre stato curato per Thorax Zoster (cfr. risultanze istruttorie). Non sono perve- nuti ulteriori certificati medici, in particolare per quanto concerne lo stato psicologico dell’interessato 3. Ad oggi non risulta alcuna terapia impostata. Pertanto, la diagnosi è posta e lo stato di salute del ricorrente 3 chiaro. Per quanto concerne il ricorrente 4, lo stesso è stato curato per un’infezione da scarlattina con antibiotico e sciroppo. Nel frattempo tale problematica è stata risolta (cfr. atti SEM n. 83/3, 84/2, 98/2 e 120/2). Da successivi accer- tamenti è emerso che l’interessato 4 soffre di disturbi d’ansia e sensazioni cardiache psicogene dovute a PTSD, per le quali non risultano attualmente terapie impostate (cfr. risultanze istruttorie). Per quanto attiene lo stato di salute del ricorrente 5, dagli atti emerge che egli si è sottoposto a cure dentistiche (cfr. atto SEM n. 133/3), inoltre egli soffre di disturbi dello sviluppo dovuta a PTSD, oltre che enuresi (cfr. risul- tanze istruttorie). Tuttavia non risultano attualmente terapie impostate.</w:t>
      </w:r>
    </w:p>
    <w:p>
      <w:r>
        <w:rPr>
          <w:b/>
        </w:rPr>
        <w:t>E. 6.5.2</w:t>
      </w:r>
    </w:p>
    <w:p>
      <w:r>
        <w:t>Alla luce dello stato di salute dei ricorrenti testé descritto, pur non volendo in alcun modo minimizzare le patologie di cui soffrono in partico- lare i ricorrenti 1 e 2,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evidenziare in tale contesto, come il Tribunale, in linea di principio – ed al contrario di quanto argomentato dagli insorgenti nel loro</w:t>
      </w:r>
    </w:p>
    <w:p>
      <w:r>
        <w:t>D-984/2022 Pagina 17 ricorso – ritenga che la Croazia disponga di infrastrutture mediche ade- guate (cfr. le sentenze del Tribunale D-440/2023 del 7 febbraio 2023 con- sid. 7.4.3; D-407/2023 del 1° febbraio 2023 consid. 8.2.2, D-1418/2022 del 4 aprile 2022 consid. 5.3.6, D-1241/2022 del 25 marzo 2022 pag. 7). Per- 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Va, infine, rammentato come il Tribunale abbia già più volte ritenuto che l’aiuto apportato da organizzazioni non governative permetta segnata- mente di supplire alle lacune delle infrastrutture psicoterapeutiche statali presenti in Croazia (cfr., a tal proposito, le sentenze del Tribunale D- 5670/2022 del 3 febbraio 2023 consid. 8.3.3 con ulteriori rif. cit., E- 4859/2022 del 9 novembre 2022 consid. 6.5.1).</w:t>
      </w:r>
    </w:p>
    <w:p>
      <w:r>
        <w:rPr>
          <w:b/>
        </w:rPr>
        <w:t>E. 6.6.1</w:t>
      </w:r>
    </w:p>
    <w:p>
      <w:r>
        <w:t>I ricorrenti invocano inoltre la Convenzione sui diritti del fanciullo per contestare l’ammissibilità del loro trasferimento verso la Croazia, lamen- tandosi che la SEM non avrebbe analizzato né preso in considerazione il benessere superiore dei ricorrenti 3, 4 e 5.</w:t>
      </w:r>
    </w:p>
    <w:p>
      <w:r>
        <w:rPr>
          <w:b/>
        </w:rPr>
        <w:t>E. 6.6.2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 spettive di sviluppo e di formazione scolastica rispettivamente professio- nale nonché le possibilità e le difficoltà di reinserimento. Nell’analisi di tali criteri, la durata del soggiorno in Svizzera è un fattore di grande impor- tanza, posto che i bambini in tenera età non devono essere sradicati senza validi motivi dall’ambiente nel quale sono cresciuti. Dal punto di vista psi- cologico, occorre prendere in considerazione non solo la famiglia in senso stretto quanto più l’insieme delle relazioni sociali. Una forte integrazione in Svizzera, derivante in particolare da un lungo soggiorno e da una scolariz- zazione in tale paese, può infatti avere quale conseguenza uno sradica- mento dal paese d’origine, che può, secondo le circostanze, rendere inesi- gibile l’esecuzione dell’allontanamento (cfr. DTAF 2009/51 consid. 5.6;</w:t>
      </w:r>
    </w:p>
    <w:p>
      <w:r>
        <w:t>D-984/2022 Pagina 18 DTAF 2009/28 consid. 9.3.2; sentenza del Tribunale D-2806/2021 del 3 febbraio 2023 consid. 10.3.1).</w:t>
      </w:r>
    </w:p>
    <w:p>
      <w:r>
        <w:rPr>
          <w:b/>
        </w:rPr>
        <w:t>E. 6.6.3</w:t>
      </w:r>
    </w:p>
    <w:p>
      <w:r>
        <w:t>In proposito si deve sottolineare che i ricorrenti 3, 4 e 5 verranno tra- sferiti insieme ai genitori, quale famiglia, in Croazia, e non saranno sepa- rati, dimodoché i ricorrenti 1 e 2 potranno occuparsi dei loro figli, fornendo loro il necessario sostegno educativo, affettivo e psicologico. Sotto questo profilo, non si può dunque rimproverare alla SEM di non aver considerato il benessere superiore degli insorgenti 3, 4 e 5. Non sussistono inoltre agli occhi del Tribunale degli elementi per concludere che il loro trasferimento in Croazia equivarrebbe ad uno sradicamento completo, tale da pregiudi- care il loro sviluppo ed equilibrio. Invero, essi risiedono in Svizzera da circa un anno e mezzo, un lasso di tempo troppo breve per considerarla una situazione di stabilità e di particolare integrazione. Peraltro, come già evi- denziato sopra, anche lo stato di salute dell’insorgenti 3, 4 e 5 non risultano ostativi al loro trasferimento in Croazia con i genitori. Inoltre va aggiunto come l’art. 3 par. 1 CDF, non impone alle autorità di dare seguito al desi- derio dei genitori che la loro domanda d’asilo sia esaminata dallo Stato che garantisce, secondo loro, le migliori condizioni d’accoglienza per i loro figli (cfr. le sentenze del Tribunale F-4998/2022 del 9 novembre 2022 con- sid. 7.5, F-1532/2022 dell’8 aprile 2022 consid. 8.5 con rif. cit.).</w:t>
      </w:r>
    </w:p>
    <w:p>
      <w:r>
        <w:rPr>
          <w:b/>
        </w:rPr>
        <w:t>E. 6.6.4</w:t>
      </w:r>
    </w:p>
    <w:p>
      <w:r>
        <w:t>Pertanto, il trasferimento degli insorgenti 3, 4 e 5 in Croazia, assieme ai genitori, non è contrario al loro interesse superiore sancito dalla CDF.</w:t>
      </w:r>
    </w:p>
    <w:p>
      <w:r>
        <w:rPr>
          <w:b/>
        </w:rPr>
        <w:t>E. 6.7</w:t>
      </w:r>
    </w:p>
    <w:p>
      <w:r>
        <w:t>In siffatte circostanze, non si ravvisano indicatori per ritenere che l’au- torità inferiore abbia esercitato in maniera arbitraria il suo potere di apprez- 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la Croazia è competente per la ripresa in carico dei ricorrenti in ossequio alle condizioni poste agli art. 23, 24, 25 e 29 RD III.</w:t>
      </w:r>
    </w:p>
    <w:p>
      <w:r>
        <w:rPr>
          <w:b/>
        </w:rPr>
        <w:t>E. 7</w:t>
      </w:r>
    </w:p>
    <w:p>
      <w:r>
        <w:t>Ne discende che è quindi a giusto titolo che la SEM non è entrata nel merito della domanda d’asilo dei ricorrenti, in applicazione dell’art. 31a cpv. 1 lett. b LAsi ed ha pronunciato il loro trasferimento verso la Croazia confor- memente all’art. 44 LAsi. In conclusione, con il provvedimento impugnato, l’autorità inferiore non ha violato il diritto federale né abusato del suo potere</w:t>
      </w:r>
    </w:p>
    <w:p>
      <w:r>
        <w:t>D-984/2022 Pagina 19 di apprezzamento ed inoltre non ha accertato in modo inesatto o incom- pleto i fatti giuridicamente rilevanti (art. 106 cpv. 1 LAsi). Il ricorso deve quindi essere respinto e la decisione dell’autorità inferiore confermata.</w:t>
      </w:r>
    </w:p>
    <w:p>
      <w:r>
        <w:rPr>
          <w:b/>
        </w:rPr>
        <w:t>E. 8</w:t>
      </w:r>
    </w:p>
    <w:p>
      <w:r>
        <w:t>Avendo il Tribunale statuito nel merito del ricorso, la richiesta tendente all’esenzione dal versamento di un anticipo sulle spese processuali, risulta divenuta senza oggetto.</w:t>
      </w:r>
    </w:p>
    <w:p>
      <w:r>
        <w:rPr>
          <w:b/>
        </w:rPr>
        <w:t>E. 9</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gli insorgenti sono indigenti, v’è luogo di accogliere la domanda di assistenza giudiziaria nel senso della dispensa dal pagamento delle spese di giustizia (art. 65 cpv. 1 PA).</w:t>
      </w:r>
    </w:p>
    <w:p>
      <w:r>
        <w:rPr>
          <w:b/>
        </w:rPr>
        <w:t>E. 10</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D-984/2022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