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D-984/2021 vom 20. April 2021</w:t>
      </w:r>
    </w:p>
    <w:p>
      <w:r>
        <w:t>Bundesverwaltungsgericht, 2021-04-20, DE</w:t>
      </w:r>
    </w:p>
    <w:p>
      <w:r>
        <w:rPr>
          <w:b/>
        </w:rPr>
        <w:t xml:space="preserve">Quelle: </w:t>
      </w:r>
      <w:r>
        <w:t>https://mcp.opencaselaw.ch/entscheid/bvger_D-984_2021</w:t>
      </w:r>
    </w:p>
    <w:p>
      <w:r>
        <w:t>FR: TAF D-984/2021 du 20 avril 2021</w:t>
      </w:r>
    </w:p>
    <w:p>
      <w:r>
        <w:t>IT: TAF D-984/2021 del 20 aprile 2021</w:t>
      </w:r>
    </w:p>
    <w:p>
      <w:pPr>
        <w:pStyle w:val="Heading2"/>
      </w:pPr>
      <w:r>
        <w:t>Regeste</w:t>
      </w:r>
    </w:p>
    <w:p>
      <w:r>
        <w:t>Wegweisung und Wegweisungsvollzug (Beschwerde gegen Wiedererwägungsentscheid)</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Gegenstand des vorliegenden Verfahrens ist ein Wiedererwägungsentscheid. Solche Entscheide können nach Lehre und Praxis grundsätzlich wie die ursprüngliche Verfügung auf dem ordentlichen Rechtsmittelweg angefochten werden. Das Wiedererwägungsverfahren wird zudem im AsylG ausdrücklich erwähnt und gesetzlich geregelt, womit die Zuständigkeit des Bundesverwaltungsgerichts für die Beurteilung der vorliegenden Beschwerde ausser Frage steht.</w:t>
      </w:r>
    </w:p>
    <w:p>
      <w:r>
        <w:rPr>
          <w:b/>
        </w:rPr>
        <w:t>E. 1.3</w:t>
      </w:r>
    </w:p>
    <w:p>
      <w:r>
        <w:t>Das Verfahren richtet sich nach dem VwVG, dem VGG und dem BGG, soweit das AsylG nichts anderes bestimmt (Art. 37 VGG und Art. 6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Der Beschwerdeführer ist legitimiert (Art. 48 Abs.1 VwVG) und er hat seine Beschwerde frist- und formgerecht eingereicht (Art. 108 Abs. 6 AsylG; Art. 52 Abs. 1 VwVG), womit auf die Beschwerde einzutreten ist.</w:t>
      </w:r>
    </w:p>
    <w:p>
      <w:r>
        <w:rPr>
          <w:b/>
        </w:rPr>
        <w:t>E. 1.6</w:t>
      </w:r>
    </w:p>
    <w:p>
      <w:r>
        <w:t>Die Beschwerde erweist sich - wie nachfolgend aufgezeigt - als offensichtlich unbegründet, womit über diese in einzelrichterlicher Zuständigkeit mit Zustimmung eines zweiten Richters oder einer zweiten Richterin zu entscheiden ist (Art. 111 Bst. e AsylG). Gleichzeitig ist auf einen Schriftenwechsel zu verzichten und der Entscheid nur summarisch zu begründen (Art. 111a Abs. 1 und 2 AsylG).</w:t>
      </w:r>
    </w:p>
    <w:p>
      <w:r>
        <w:rPr>
          <w:b/>
        </w:rPr>
        <w:t>E. 2.1</w:t>
      </w:r>
    </w:p>
    <w:p>
      <w:r>
        <w:t>Das Wiedererwägungsgesuch bezweckt in seiner praktisch relevantesten Form die Anpassung einer ursprünglich fehlerfreien Verfügung an eine nachträglich eingetretene erhebliche Veränderung der Sachlage (vgl. Entscheidungen und Mitteilungen der Schweizerischen Asylrekurskommission [EMARK] 1995 Nr. 21 E. 1 S. 202 ff.). Das SEM hat die Eingabe vom 21. Dezember 2020 zu Recht als Wiedererwägungsgesuch in diesem Sinne erkannt und nach der Bestimmung von Art. 111b AsylG entgegengenommen, da in der Eingabe keine neuen Asylgesuchsgründe eingebracht wurden, sondern damit ausschliesslich eine Neubeurteilung der Frage der Anordnung der Wegweisung respektive des Wegweisungsvollzuges verlangt wurde, weil nachträglich eine rechtserhebliche Veränderung der persönlichen Umstände eingetreten sei (vgl. auch BVGE 2014/39 E. 4.5).</w:t>
      </w:r>
    </w:p>
    <w:p>
      <w:r>
        <w:rPr>
          <w:b/>
        </w:rPr>
        <w:t>E. 2.2</w:t>
      </w:r>
    </w:p>
    <w:p>
      <w:r>
        <w:t>Nachdem das SEM auf das Wiedererwägungsgesuch eingetreten ist und das Gesuch einer materiellen Prüfung unterzogen hat, sind auf Ausführungen bezüglich der formellen Anforderungen eines Wiedererwägungsgesuches zu verzichten (vgl. EMARK 2003 Nr. 7 E. 4; vgl. ferner BVGE 2014/39 E. 5-7, zumal zwischen Art. 111b und Art. 111c AsylG ein enger Zusammenhang besteht [a.a.O., E. 5.5]). Es bleibt lediglich der Ordnung halber anzumerken, dass sich bezüglich Fristeinhaltung und Begründung durchaus Fragen gestellt hätten.</w:t>
      </w:r>
    </w:p>
    <w:p>
      <w:r>
        <w:rPr>
          <w:b/>
        </w:rPr>
        <w:t>E. 3.1</w:t>
      </w:r>
    </w:p>
    <w:p>
      <w:r>
        <w:t>Die Einschätzung des SEM ist zu bestätigen, dass der Beschwerdeführer aus der Verbindung mit B._______ keine Ansprüche für sich ableiten kann. Er ist nicht mit ihr verheiratet und aufgrund der Aktenlage besteht auch kein Anlass zur Annahme, dass sie einander im Sinne einer gefestigten eheähnlichen Beziehung verbunden wären. Tatsächlich erfordert die Annahme einer eheähnlichen Gemeinschaft - analog den weiteren familiären Beziehungen - das Vorliegen einer nahen, echten und tatsächlich gelebten Beziehung zwischen den Partnern, wobei bei der Prüfung als wesentliche Faktoren das gemeinsame Wohnen respektive der gemeinsame Haushalt, die finanzielle Verflochtenheit, die Dauer und Stabilität der Beziehung sowie das Interesse und die Bindung der Partner aneinander zu berücksichtigen sind (vgl. BVGer-Urteil E-7092/2017 vom 25. Januar 2021 E. 12.2 m.w.H. [zur BVGE-Publikation bestimmt]; vgl. ferner etwa BGer-Urteil 2C_880/2017 vom 3. Mai 2018 E. 3.1 f. m.w.H. auf Lehre und Praxis). Eine eheähnliche Verbindung ist demnach nicht leichthin anzunehmen, sondern nur dann, wenn genügend substanziierte Gründe die Annahme zu stützen vermögen. Vorliegend sind keine solche Gründe ersichtlich. Ersichtlich ist im Wesentlichen bloss, dass der Beschwerdeführer am 2. September 2020 im Rahmen einer privaten Zeremonie eine andere Asylsuchende aus Sri Lanka "geheiratet" haben will, welche sich zu diesem Zeitpunkt erst seit fünf Monaten in der Schweiz aufhielt. Die angerufene Beziehung ist selbst heute noch als jung zu bezeichnen, woran auch die Berufung auf eine angeblich grosse Verbundenheit nichts zu ändern vermag. Der Beschwerdeführer und B._______ haben auch noch nie auf Dauer miteinander zusammengelebt, was der Annahme einer gefestigten Beziehung massgeblich entgegensteht. Alleine die angerufene Schwangerschaft vermag das vollständige Fehlen von stichhaltigen Gründen zur Annahme einer gefestigten, mithin bereits eheähnlichen Beziehung nicht aufzuwiegen. Aus der angerufenen Schwangerschaft kann der Beschwerdeführer im Übrigen auch kein anderweitiges Recht auf Anwesenheit ableiten.</w:t>
      </w:r>
    </w:p>
    <w:p>
      <w:r>
        <w:rPr>
          <w:b/>
        </w:rPr>
        <w:t>E. 3.2</w:t>
      </w:r>
    </w:p>
    <w:p>
      <w:r>
        <w:t>Aus vorstehenden Erwägungen folgt, dass das SEM aufgrund der Aktenlage zu Recht zum Schluss gelangt ist, es liege keine eheähnliche Beziehung vor und es bestehe daher auch kein Anspruch auf eine Verfahrenskoordination.</w:t>
      </w:r>
    </w:p>
    <w:p>
      <w:r>
        <w:rPr>
          <w:b/>
        </w:rPr>
        <w:t>E. 4</w:t>
      </w:r>
    </w:p>
    <w:p>
      <w:r>
        <w:t>Nach dem Gesagten ist die angefochtene Verfügung zu bestätigen und die Beschwerde vom 5. März 2021 als offensichtlich unbegründet abzuweisen.</w:t>
      </w:r>
    </w:p>
    <w:p>
      <w:r>
        <w:rPr>
          <w:b/>
        </w:rPr>
        <w:t>E. 5</w:t>
      </w:r>
    </w:p>
    <w:p>
      <w:r>
        <w:t>Mit vorliegendem Entscheid in der Hauptsache sind die Gesuche um Erteilung der aufschiebenden Wirkung (nach Art. 111b Abs. 3 AsylG) und Anordnung vollzugshemmender Massnahmen (gemäss Art. 56 VwVG) gegenstandslos geworden. Das nachträgliche Gesuch um Gewährung der unentgeltlichen Rechtspflege und amtlichen Verbeiständung (im Sinne von Art. 65 Abs. 1 und 2 VwVG) ist mit vorliegendem Entscheid abzuweisen, da sich die Beschwerde nach dem Gesagten als von Anfang an aussichtslos erwiesen hat. Demnach sind die Kosten des Verfahrens dem Beschwerdeführer aufzuerlegen (Art. 63 Abs. 1 VwVG). Die Kosten im vorliegenden Verfahren betreffend eine als aussichtslos erkannte Beschwerde gegen einen Wiedererwägungsentscheid sind praxisgemäss auf Fr. 1'500.- festzusetzen (Art. 1-3 des Reglements vom 21. Februar 2008 über die Kosten und Entschädigungen vor dem Bundesverwaltungsgericht [VGKE, SR 173.320.2]). Der am 25. März 2021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