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D-9816/2025 vom 12. Februar 2026</w:t>
      </w:r>
    </w:p>
    <w:p>
      <w:r>
        <w:t>Bundesverwaltungsgericht, 2026-02-12, DE</w:t>
      </w:r>
    </w:p>
    <w:p>
      <w:r>
        <w:rPr>
          <w:b/>
        </w:rPr>
        <w:t xml:space="preserve">Quelle: </w:t>
      </w:r>
      <w:r>
        <w:t>https://mcp.opencaselaw.ch/entscheid/bvger_D-9816_2025</w:t>
      </w:r>
    </w:p>
    <w:p>
      <w:r>
        <w:t>FR: TAF D-9816/2025 du 12 février 2026</w:t>
      </w:r>
    </w:p>
    <w:p>
      <w:r>
        <w:t>IT: TAF D-9816/2025 del 12 febbraio 2026</w:t>
      </w:r>
    </w:p>
    <w:p>
      <w:pPr>
        <w:pStyle w:val="Heading2"/>
      </w:pPr>
      <w:r>
        <w:t>Regeste</w:t>
      </w:r>
    </w:p>
    <w:p>
      <w:r>
        <w:t>Asyl und Wegweisung (beschleunigtes Verfahren)</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somit zur Einreichung der Beschwerde legitimiert (Art. 105 und Art. 108 Abs. 6 AsylG; Art. 48 Abs. 1 sowie Art. 52 Abs. 1 VwVG). Sodann ging der verlangte Kostenvorschuss am 19. Januar 2026 innert Frist bei der Gerichtskasse ein. Auf die Beschwerde ist daher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vorliegend um eine solche handelt, ist das Urteil nur summarisch zu begründen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Asylbeachtlich ist eine objektiv begründete subjektive Furcht vor Verfolgung. Begründete Furcht vor Verfolgung liegt vor, wenn konkreter Anlass zur Annahme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absehbarer Zukunft verwirklichen.</w:t>
      </w:r>
    </w:p>
    <w:p>
      <w:r>
        <w:rPr>
          <w:b/>
        </w:rPr>
        <w:t>E. 4.2</w:t>
      </w:r>
    </w:p>
    <w:p>
      <w:r>
        <w:t>Eine Verfolgung durch nicht-staatliche Akteure kann flüchtlingsrechtlich relevant sein, wenn es der betroffenen Person nicht möglich ist,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Eine nicht-staatliche Verfolgung ist flüchtlingsrechtlich nur dann relevant, wenn der Staat unfähig oder nicht willens ist, Schutz vor einer solchen Verfolgung zu bieten (vgl. hierzu Entscheidungen und Mitteilungen der Schweizerischen Asylrekurskommission [EMARK] 2006 Nr. 18).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wie etwa funktionierende polizeiliche Einrichtungen und ein verlässliches Rechts- und Justizsystem. Zudem muss der Zugang zum Schutzsystem der betroffenen Person objektiv zugänglich und individuell zumutbar sein, was jeweils im Rahmen einer Einzelfallprüfung unter Berücksichtigung des länderspezifischen Kontextes zu beurteilen ist (vgl. BVGE 2011/51 E. 7.3 f. m.w.H. und Urteil des BVGer E-4446/2018 vom 23. Januar 2018 E. 6.2.1).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stellte sich in der Stellungnahme zum Entscheidentwurf auf den Standpunkt, dass er alles ihm Zumutbare unternommen habe, um sich in Sri Lanka vor den Mitgliedern der höheren Kaste, die ihn bedroht hätten, zu schützen. Durch Familienangehörige und Bekannte habe er erfahren, dass diese Personen ihm nach wie vor mit dem Tod drohten. Auch müsse er durch die örtliche Polizei mit weiteren Drohungen gegen ihn rechnen. Ferner sei die individuelle Inanspruchnahme behördlicher Hilfe infolge von sprachlichen Verständigungsschwierigkeiten erschwert. Ausserdem würden zahlreiche Berichte die Schutzwilligkeit und Schutzfähigkeit des sri-lankischen Staates relativieren. Aufgrund der bereits erlittenen Gewalt durch die Behörden leide er bis heute unter Schmerzen und Schlafstörungen.</w:t>
      </w:r>
    </w:p>
    <w:p>
      <w:r>
        <w:rPr>
          <w:b/>
        </w:rPr>
        <w:t>E. 5.2</w:t>
      </w:r>
    </w:p>
    <w:p>
      <w:r>
        <w:t>Die Vorinstanz führte in ihrer ablehnenden Verfügung aus, dass es sich bei den vorgebrachten Problemen des Beschwerdeführers mit Mitgliedern einer höheren Kaste, der Schlägerei und der versuchten Vergewaltigung seiner Schwester um Übergriffe durch Dritte handle, welche nicht auf einem flüchtlingsrechtlich relevanten Motiv im Sinne von Art. 3 AsylG basierten. Beim durch die Schlägerbande verübten Angriff handle es sich um eine Straftat und diese werde auch in Sri Lanka geahndet. Es sei nicht nachvollziehbar, weshalb er sich aufgrund des Konflikts mit dem Tempel und den Mitgliedern der höheren Kaste nicht an die Behörden gewandt habe, zumal er in der Lage gewesen sei, das Verschwinden seines Schwagers anzuzeigen. Seine Begründung, wonach der Tempel ein heiliger Ort sei und er die Polizei nicht habe holen wollen, um den Frieden im Tempel nicht zu stören, überzeuge nicht. Ferner habe er nach mehrmaliger Nachfrage erwähnt, dass beide Konfliktparteien von der Polizei zu den Vorfällen bezüglich des Tempels befragt worden seien. Dieser Umstand und die Tatsache, dass die Regierung zwischenzeitlich die Verantwortung über den betreffenden Tempel übernommen habe, damit alle in Frieden beten könnten, führten zur Annahme, dass die sri-lankischen Behörden in seinem Fall schutzwillig seien und er infolge der staatlichen Kontrolle über den Tempel auch keine weiteren Schwierigkeiten durch Mitglieder der höheren Kaste zu erwarten habe. Bei der Festnahme durch Polizisten und deren Misshandlungen im Juli 2023 handle es sich um Amtsmissbrauch durch einzelne fehlbare Beamte. Solche Verfehlungen von Behördenvertretern würden durch den sri-lankischen Staat nicht gebilligt; es bestehe die Möglichkeit zur Einreichung einer Beschwerde wie etwa zuhanden der Nationalen Polizeikommission und die Human Rights Commission for Sri Lanka (HRCSL), die zwar keine Strafverfolgung erwirken könne, aber dennoch einen gewissen Opferschutz darbringe. Der sri-lankische Staat zeige damit seine Schutzwilligkeit, auch wenn Widerstände bei amtsinternen Untersuchungen nicht ausgeschlossen werden könnten.</w:t>
      </w:r>
    </w:p>
    <w:p>
      <w:r>
        <w:rPr>
          <w:b/>
        </w:rPr>
        <w:t>E. 5.3</w:t>
      </w:r>
    </w:p>
    <w:p>
      <w:r>
        <w:t>Der Beschwerdeführer entgegnete in seiner Beschwerde, dass er glaubhaft dargelegt habe, Sri Lanka aus Angst um sein Leben verlassen zu haben. Dabei sei er sowohl von Privatpersonen als auch von der Polizei aus einem flüchtlingsrechtlichen Motiv im Sinne von Art. 3 AsylG verfolgt sowie misshandelt worden. Der Grund für die Verfolgung sei die Zugehörigkeit zu einer Kaste und die Religionszugehörigkeit. Die Behörden hätten weder zur Entführung seines Schwagers noch zur versuchten Vergewaltigung an seiner Schwester Untersuchungen eingeleitet. Daher sei in seinem Fall die Schutzwilligkeit der sri-lankischen Behörden zu verneinen. Schliesslich sei festzuhalten, dass behördliche systematische Verfolgung von Tamilinnen und Tamilen in Sri Lanka nicht als Amtsmissbrauch interpretiert respektive nicht geahndet werde.</w:t>
      </w:r>
    </w:p>
    <w:p>
      <w:r>
        <w:rPr>
          <w:b/>
        </w:rPr>
        <w:t>E. 6.1</w:t>
      </w:r>
    </w:p>
    <w:p>
      <w:r>
        <w:t>Das Gericht gelangt zum Schluss, dass die Vorinstanz in der angefochtenen Verfügung zutreffend und überzeugend begründet hat, dass die vom Beschwerdeführer geltend gemachten Fluchtgründe die Voraussetzungen der flüchtlingsrechtlichen Beachtlichkeit im Sinne von Art. 3 AsylG nicht erfüllen. Hierzu kann vollumfänglich auf die entsprechenden Erwägungen der Vorinstanz verwiesen werden (vgl. SEM-Akte A36/10 S. 4-5). Ergänzend ist festzustellen, dass seine Schilderungen bezüglich der Probleme mit der rivalisierenden Kaste, die verbalen Drohungen sowie der Überfall durch eine Schlägergruppe zwar glaubhaft ausgefallen sind, es sich hierbei jedoch um Übergriffe durch Drittpersonen handelt. Solche Übergriffe sind nur dann flüchtlingsrechtlich relevant, wenn sie auf einem in Art. 3 Abs. 1 AsylG aufgeführten Verfolgungsmotiv beruhen. Ein entsprechendes ethnisches oder religiöses Motiv ist vorliegend jedoch zu verneinen. Vielmehr sind die Auseinandersetzungen auf finanzielle respektive persönliche Interessen im Zusammenhang mit der Kontrolle über Tempelaufgaben zurückzuführen. Zudem hat sich die Situation infolge der Übernahme der Tempelverwaltung durch staatliche Stellen entschärft, weshalb eine begründete Furcht vor zukünftigen diesbezüglichen Übergriffen ohnehin nicht mehr besteht (vgl. SEM-Akte A33/26 F57, F78-80). Sodann ist die Schutzfähigkeit der sri-lankischen Behörden in seinem Fall zu bejahen; er konnte bereits erfolgreich eine Vermisstenanzeige bei der lokalen Polizei einreichen, weshalb anzunehmen ist, dass ihm auch künftig staatlicher Schutz gewährt würde. Es ist ihm ausserdem objektiv zumutbar, sich bei allfälligen weiteren Übergriffen an die zuständigen Behörden zu wenden. Auch erweist sich der geltend gemachte Sachverhalt bezüglich der fingierten Sachbeschädigung an einem polizeilichen Motorrad, der Beschuldigung des Beschwerdeführers der Sachbeschädigung mit anschliessender Gerichtsverhandlung sowie einer Bussenzahlung als flüchtlingsrechtlich nicht relevant. Schliesslich ist in Bezug auf die geltend gemachten, einmaligen Misshandlungen nach seiner Festnahme durch Beamte auf die in der vorinstanzlichen Verfügung geschilderten Möglichkeit, sich unter anderem an die Organisation Human Rights Commission for Sri Lanka zu wenden, zu verweisen (vgl. SEM-Akte A36/10 S. 4-5).</w:t>
      </w:r>
    </w:p>
    <w:p>
      <w:r>
        <w:rPr>
          <w:b/>
        </w:rPr>
        <w:t>E. 6.2</w:t>
      </w:r>
    </w:p>
    <w:p>
      <w:r>
        <w:t>Das Bundesverwaltungsgericht kommt nach dem Gesagten zum Schluss, dass der Beschwerdeführer die Flüchtlingseigenschaft nicht erfüllt.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Abs.3 AIG).</w:t>
      </w:r>
    </w:p>
    <w:p>
      <w:r>
        <w:rPr>
          <w:b/>
        </w:rPr>
        <w:t>E. 8.3.2</w:t>
      </w:r>
    </w:p>
    <w:p>
      <w:r>
        <w:t>Da der Beschwerdeführer die Flüchtlingseigenschaft nicht erfüllt,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8.3.3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er eine konkrete Gefahr im Sinne eines «real risk» nachweisen oder glaubhaft machen, dass ihm im Fall einer Rückschiebung Folter oder unmenschliche Behandlung drohen würde (vgl. Urteil des EGMR Saadi gegen Italien vom 28. Februar 2008, Grosse Kammer 37201/06, §§ 124 127 m.w.H.). Das ist ihm jedoch nicht gelungen. Ebenso wenig lassen konkrete Hinweise darauf schliessen, dass er bei einer Rückkehr aus einem europäischen Land nach Sri Lanka mit beachtlicher Wahrscheinlichkeit Massnahmen zu befürchten hätte, die über einen sogenannten «Background Check» (Befragung und Überprüfung von Tätigkeiten im In- und Ausland) hinausgehen würden (vgl. hierzu etwa das Urteil des BVGer D-6472/2019 vom 23. September 2024 E. 9.5.3 m.w.H.).</w:t>
      </w:r>
    </w:p>
    <w:p>
      <w:r>
        <w:rPr>
          <w:b/>
        </w:rPr>
        <w:t>E. 8.3.4</w:t>
      </w:r>
    </w:p>
    <w:p>
      <w:r>
        <w:t>Der Vollzug der Wegweisung erweist sich demnach als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(Liberation Tigers of Tamil Eelam) ist im Mai 2009 zu Ende gegangen. Zurzeit herrscht in Sri Lanka weder Krieg noch eine Situation allgemeiner Gewalt. Im September 2024 wurde Anura Kumara Dissanayake zum Präsidenten gewählt. Die Parlamentswahl von Mitte November 2024 beendete die Ära des umstrittenen Rajapaksa-Clans sowie des dem alten politischen Regime angehörigen Präsidenten Ranil Wickremesinghe. Aktuell ist noch nicht absehbar, wie sich die jüngsten Entwicklungen auf die politische und allgemeine Lage in Sri Lanka auswirken werden. Es ist aber nicht davon auszugehen, dass sich die allgemeine Situation für Rückkehrende tamilischer Ethnie durch den Regierungswechsel verschärft hätte.</w:t>
      </w:r>
    </w:p>
    <w:p>
      <w:r>
        <w:rPr>
          <w:b/>
        </w:rPr>
        <w:t>E. 8.4.3</w:t>
      </w:r>
    </w:p>
    <w:p>
      <w:r>
        <w:t>In den beiden Referenzurteilen E-1866/2015 vom 15. Juli 2016 und D-3619/2016 vom 16. Oktober 2017 kam das Bundesverwaltungsgericht zum Schluss, dass der Wegweisungsvollzug in die Nordprovinz und in die Ostprovinz unter Einschluss des Vanni-Gebiets zumutbar sei, wenn bestimmte individuelle Zumutbarkeitskriterien bejaht werden können. An dieser Einschätzung vermag die seit einiger Zeit in weiten Teilen Sri Lankas herrschende angespannte anhaltende Wirtschaftslage und Finanzkrise grundsätzlich nichts zu ändern, da diese Umstände die ganze sri-lankische Bevölkerung tangieren (vgl. Urteile des BVGer D-2920/2020 vom 27. Mai 2025 E. 8.3.1 m.w.H.; E-5862/2023 vom 25. März 2024 E. 7.3.2 sowie das Referenzurteil des BVGer E-737/2020 vom 27. Februar 2023 E. 10.2.5.1).</w:t>
      </w:r>
    </w:p>
    <w:p>
      <w:r>
        <w:rPr>
          <w:b/>
        </w:rPr>
        <w:t>E. 8.4.4</w:t>
      </w:r>
    </w:p>
    <w:p>
      <w:r>
        <w:t>Aus individueller Sicht spricht nichts gegen einen Vollzug der Wegweisung. Der Beschwerdeführer gab an, bis zu seiner Ausreise im September 2023 in der Nordprovinz in E._______ gelebt zu haben. Nach seinem Schulabschluss habe er in der (...) gearbeitet und sei danach als (...) tätig gewesen. Seine finanzielle Situation habe er als gut («ok») beschrieben. Vor dem Hintergrund seiner Schulbildung und der mehrjährigen Berufserfahrung wird es ihm möglich sein, sich erneut erfolgreich in beruflicher und finanzieller Hinsicht zu reintegrieren. Ausserdem leben vier seiner fünf Geschwister und sein Vater in Sri Lanka (vgl. SEM-Akte A33/26 F7, F10-25, F32, F36-37). Vor diesem Hintergrund ist daher davon auszugehen, dass er bei einer Rückkehr nach Sri Lanka auf ein funktionierendes familiäres und soziales Netzwerk wird zurückgreifen können, das ihm bei Bedarf auch hilfreich zur Seite stehen wird. Da auch seine Wohnsituation im Haus seines Vaters als gesichert erscheint, ist insgesamt nicht davon auszugehen, dass er nach seiner Rückkehr in eine existenzielle Notlage geraten würde.</w:t>
      </w:r>
    </w:p>
    <w:p>
      <w:r>
        <w:rPr>
          <w:b/>
        </w:rPr>
        <w:t>E. 8.4.5</w:t>
      </w:r>
    </w:p>
    <w:p>
      <w:r>
        <w:t>Auch aus medizinischer Sicht erweist sich der Vollzug der Wegweisung nach Sri Lanka als zumutbar. Den Akten lässt sich nicht entnehmen, dass der Beschwerdeführer zum aktuellen Zeitpunkt auf eine medizinische Behandlung angewiesen wäre oder unter schwerwiegenden gesundheitlichen Problemen leiden würde. Bei seinen geltend gemachten Schlafproblemen, dem Schwindel sowie der depressiven Episode nach dem Tod seiner Mutter mit teilweiser Medikamenteneinnahme handelt es sich nicht um schwerwiegende Probleme, die nicht auch im Heimatland behandelt werden könnten (vgl. SEM-Akten A10/2 und A33/26 F5) und begründen keine medizinische Notlage im Sinne der einschlägigen Rechtsprechung des Bundesverwaltungsgerichts (vgl. BVGE 2011/50 E. 8.3 und 2009/2 E. 9.3.2 je m.w.H.).</w:t>
      </w:r>
    </w:p>
    <w:p>
      <w:r>
        <w:rPr>
          <w:b/>
        </w:rPr>
        <w:t>E. 8.4.6</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somit abzuweisen.</w:t>
      </w:r>
    </w:p>
    <w:p>
      <w:r>
        <w:rPr>
          <w:b/>
        </w:rPr>
        <w:t>E. 10</w:t>
      </w:r>
    </w:p>
    <w:p>
      <w:r>
        <w:t>Bei diesem Ausgang des Verfahrens sind die Kosten von Fr. 1'000.- dem Beschwerdeführer aufzuerlegen (Art. 1-3 des Reglements vom 21. Februar 2008 über die Kosten und Entschädigungen vor dem Bundesverwaltungsgericht [VGKE; SR 173.320.2]; Art. 63 Abs. 1 VwVG). Der am 19. Januar 2026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