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D-97/2012 vom 30. Januar 2012</w:t>
      </w:r>
    </w:p>
    <w:p>
      <w:r>
        <w:t>Bundesverwaltungsgericht, 2012-01-30, DE</w:t>
      </w:r>
    </w:p>
    <w:p>
      <w:r>
        <w:rPr>
          <w:b/>
        </w:rPr>
        <w:t xml:space="preserve">Quelle: </w:t>
      </w:r>
      <w:r>
        <w:t>https://mcp.opencaselaw.ch/entscheid/bvger_D-97_2012</w:t>
      </w:r>
    </w:p>
    <w:p>
      <w:r>
        <w:t>FR: TAF D-97/2012 du 30 janvier 2012</w:t>
      </w:r>
    </w:p>
    <w:p>
      <w:r>
        <w:t>IT: TAF D-97/2012 del 30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in casu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1.4</w:t>
      </w:r>
    </w:p>
    <w:p>
      <w:r>
        <w:t>Der Beschwerde kommt von Gesetzes wegen aufschiebende Wirkung zu (Art. 55 Abs. 1 VwVG), weshalb der Antrag, es sei festzustellen, dass die Beschwerde aufschiebende Wirkung habe, als gegenstandslos zu erachten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 weshalb der Antrag auf Gewährung des Replikrechts sich als gegenstandslos erweist.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ablehnenden Asylentscheids führte die Vorinstanz im Wesentlichen aus, aufgrund seiner Ausführungen könne dem Beschwerdeführer die Behauptung, als Mitarbeiter der (...) tätig gewesen zu sein, nicht geglaubt werden. Vor diesem Hintergrund erschienen auch seine geltend gemachten Fluchtgründe unglaubhaft, da sich diese direkt auf die angebliche Tätigkeit bei der (...) beziehen würden. Des Weiteren überzeugten weder die Aussagen zur angeblichen Entführung eines Mitarbeiters der (...) noch zur angeblichen Verfolgung seitens des (...), weshalb dieser Sachverhalt ebenfalls als unglaubhaft zu beurteilen sei. Angesichts der festgestellten Unglaubhaftigkeit der Vorbringen könne auf eine eingehende Würdigung der eingereichten Dokumente verzichtet werden. Da die Vorbringen des Beschwerdeführers den Anforderungen an die Glaubhaftigkeit gemäss Art. 7 AsylG nicht standhielten, müsse ihre Asylrelevanz nicht geprüft werden. Den Vollzug der Wegweisung erachtete das Bundesamt als zulässig, zumutbar und möglich.</w:t>
      </w:r>
    </w:p>
    <w:p>
      <w:r>
        <w:rPr>
          <w:b/>
        </w:rPr>
        <w:t>E. 5.2</w:t>
      </w:r>
    </w:p>
    <w:p>
      <w:r>
        <w:t>In der Beschwerde wird die Verletzung von Bundesrecht sowie die unrichtige und unvollständige Feststellung des rechtserheblichen Sachverhalts gerügt und diesbezüglich insbesondere geltend gemacht, die Befragungstechnik anlässlich der Anhörung zu den Asylgründen sei mangelhaft gewesen. Es scheine, dass die Befragerin kein Interesse daran gehabt habe, die Tätigkeit des Beschwerdeführers bei der (...) zu verstehen. Vielmehr sei sie in unsystematischer Weise von einem Begriff zum anderen gesprungen, womit sie die Schilderungsbemühungen des Beschwerdeführers mehrfach unterbrochen habe. Die vom Bundesamt vorgenommene Interpretation der Aussagen sei als willkürlich zu beurteilen. Auch in der Beurteilung der Glaubhaftigkeit bezüglich der Umstände der konkreten Bedrohung, die der Flucht des Beschwerdeführers vorangegangen sei, habe das BFM eine falsche Interpretation des Sachverhalts vorgenommen. Im Weiteren sei der Wegweisungsvollzug unzulässig und unzumutbar.</w:t>
      </w:r>
    </w:p>
    <w:p>
      <w:r>
        <w:rPr>
          <w:b/>
        </w:rPr>
        <w:t>E. 5.3</w:t>
      </w:r>
    </w:p>
    <w:p>
      <w:r>
        <w:t>Nach einer genauen Prüfung der vorliegenden Akten kommt das Bundesverwaltungsgericht zum Schluss, dass die Ausführungen in der Rechtsmitteleingabe nicht geeignet sind, die als zutreffend zu erachtenden Erwägungen des BFM zu entkräften.</w:t>
      </w:r>
    </w:p>
    <w:p>
      <w:r>
        <w:rPr>
          <w:b/>
        </w:rPr>
        <w:t>E. 5.3.1</w:t>
      </w:r>
    </w:p>
    <w:p>
      <w:r>
        <w:t>Was zunächst den in formeller Hinsicht geltend gemachten Vorwurf der mangelhaften Befragungstechnik betrifft, ist festzustellen, dass der Beschwerdeführer daraus nichts zu seinen Gunsten abzuleiten vermag, zumal der bei der Anhörung anwesende Hilfswerksvertreter zum Protokoll keinerlei Einwände anmeldete (vgl. Anhörungsprotokoll vom 16. September 2009, A8 S. 21). Insbesondere ist aus dem Protokoll nicht ersichtlich, inwiefern die Befragerin den Beschwerdeführer zu seinem Nachteil unterbrochen und ihm bei zu wenig ausführlichen Antworten keine ergänzenden Fragen gestellt haben sollte. So konnte er entgegen anderslautender Einschätzung namentlich die Frage, was er denn in der Buchhaltung genau gemacht habe, ohne Unterbrechung ausführlich beantworten (vgl. A8 S. 6 F57). Bei der Beantwortung der Frage, was er im Bereich Local Fundraising genau gemacht habe, wurde er zuerst zwar unterbrochen (vgl. a.a.O., F61), hatte jedoch gleich anschliessend Gelegenheit, sich gezielt zu seiner angeblichen Aufgabe in diesem Bereich zu äussern (vgl. a.a.O., F62). Als er im Weiteren angab, er habe alles machen müssen, hat die Befragerin sehr wohl detaillierter wissen wollen, was mit alles gemeint sei (vgl. a.a.O., F58-59). Auch die Argumentation, wonach der Beschwerdeführer seine Antwort auf Frage F59 unmöglich so gemeint haben könne, wie sie offenbar übersetzt worden sei, ist als unbehelflicher Erklärungsversuch zu bewerten, da er nach der Rückübersetzung des Protokolls unterschriftlich bestätigte, es sei vollständig und entspreche seinen freien Äusserungen (vgl. A8 S. 20). Vielmehr hätte erwartet werden dürfen, dass er auf die in der Beschwerde erwähnte politische Programmschrift "N._______" bereits bei der Anhörung ohne entsprechende Nachfrage von sich aus zu sprechen gekommen wäre. Demzufolge müssen die diesbezüglich in der Rechtsmitteleingabe gemachten Ausführungen als nachgeschoben qualifiziert werden, weshalb sich ein Abwarten der in Aussicht gestellten Schrift erübrigt. Insgesamt sind die vom BFM vorgenommene Feststellung des Sachverhalts und dessen Würdigung nicht zu beanstanden, weshalb weder eine Neubeurteilung der vorgebrachten Asylgründe noch eine weitere Befragung in Betracht kommt. Der Eventualantrag auf ergänzende Anhörung wird demnach abgewiesen.</w:t>
      </w:r>
    </w:p>
    <w:p>
      <w:r>
        <w:rPr>
          <w:b/>
        </w:rPr>
        <w:t>E. 5.3.2</w:t>
      </w:r>
    </w:p>
    <w:p>
      <w:r>
        <w:t>Im Zusammenhang mit seiner angeblichen Tätigkeit bei der (...) erklärte der Beschwerdeführer anlässlich der Anhörung, er habe für diese Stiftung als O._______ gearbeitet (vgl. A8 S. 5/6 F46 ff.). Im Dokument "(...)" ist jedoch ein gewisser P._______, als den sich der Beschwerdeführer ausgibt, als Kontaktperson für die Distrikt Unit F._______ aufgeführt (vgl. Beschwerdebeilage 3, S. 10). Würde es sich bei dieser Kontaktperson tatsächlich um den Beschwerdeführer handeln, ist davon auszugehen, dass er diese verantwortungsvolle Funktion im Rahmen der Anhörung ebenso erwähnt hätte. Zudem hätte er von der Existenz des besagten Dokuments Kenntnis gehabt und die Frage, ob die (...) über eine Internetseite verfüge, nicht verneint (vgl. A8 S. 7 F69). Des Weiteren lässt sich der Vorname (...) in diesem Zusammenhang ohnehin nicht eindeutig dem Beschwerdeführer zuordnen, da es in Sri Lanka vermutungsweise noch andere Personen mit demselben Vornamen geben dürfte. Nach dem Gesagten und im Sinne der zutreffenden Erwägungen in der angefochtenen Verfügung, auf welche zur Vermeidung von Wiederholungen vollumfänglich verwiesen werden kann, erweisen sich die Vorbringen des Beschwerdeführers zu seiner angeblichen Mitarbeit innerhalb der (...) als unglaubhaft. Dementsprechend können ihm auch alle weiteren damit zusammenhängenden Ausführungen nicht geglaubt werden. So ist insbesondere sein Rechtfertigungsversuch, er habe keine zusätzlichen Angaben über die Umstände der Entführung seines Vorgesetzten gebraucht, weil er sofort gewusst habe, dass er in Gefahr sei, als unbehelfliche Schutzbehauptung zu werten, zumal davon ausgegangen werden kann, er hätte gerade deshalb ein Interesse an allfälligen weiteren Informationen gehabt. Schliesslich ist angesichts des Umstands, wonach der Beschwerdeführer nach seiner Reise nach J._______ im Januar 2009 (vgl. A8 S. 16 F196/197) wieder freiwillig in sein Heimatland zurückkehrte, auszuschliessen, dass er sich dort vor Verfolgung fürchtete. Einer tatsächlich verfolgten Person wäre vielmehr daran gelegen gewesen, dem Ort einer zu befürchtenden Gefährdung dauerhaft fernzubleiben. Ebenso wenig ist davon auszugehen, dass dem Beschwerdeführer die endgültige Ausreise von M._______ aus (vgl. Befragungsprotokoll vom 27. August 2009, A1 S. 5) unbehelligt gelungen wäre, hätte das (...) tatsächlich nach ihm gesucht. Bei dieser Sachlage kann insgesamt darauf verzichtet werden, auf die weiteren Ausführungen in der Beschwerde und die damit eingereichten Beweismittel näher einzugehen, da das Gericht dadurch zu keiner anderen Einschätzung gelangen würde. Die erhobene Rüge der Verletzung von Bundesrecht ist nach dem Gesagten unbegründet. Das BFM hat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somit unter dem Aspekt von Art. 5 AsylG rechtmässig.</w:t>
      </w:r>
    </w:p>
    <w:p>
      <w:r>
        <w:rPr>
          <w:b/>
        </w:rPr>
        <w:t>E. 7.2.3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im Heimatland aus demselben Grund eine menschenrechtswidrige Behandlung drohen.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Bundesverwaltungsgericht nahm im Urteil BVGE E-6220/2006 vom 27. Oktober 2011 zur Frage der Zumutbarkeit des Wegweisungsvollzugs abgewiesener sri-lankischer Asylsuchender tamilischer Ethnie eine Neubeurteilung der Lage vor. Es wurde festgestellt, dass sich die Sicherheitslage in Sri Lanka seit Beendigung des militärischen Konflikts zwischen der sri-lankischen Armee und den LTTE im Mai 2009 erheblich verbessert und stabilisiert habe. Die LTTE sei militärisch vernichtend geschlagen worden; von den LTTE gehe heute keine Verfolgung mehr aus. Gemäss der neuen Rechtsprechung ist der Wegweisungsvollzug grundsätzlich zumutbar hinsichtlich des gesamten Gebiets der Ostprovinz und auch hinsichtlich der Nordprovinz, dort allerdings mit Ausnahme des Vanni-Gebiets (geografisch definiert in E. 13.2.2.1), wobei namentlich bei Personen, deren letzter Aufenthalt in der Nordprovinz längere Zeit zurückliegt, die aktuellen Lebens- und Wohnverhältnisse sorgfältig abzuklären und auf die Zumutbarkeit des Wegweisungsvollzugs hin zu überprüfen sind. In diesem Zusammenhang erscheinen für das Bundesverwaltungsgericht namentlich die Existenz eines tragfähigen Beziehungsnetzes und die konkreten Möglichkeiten der Sicherung des Existenzminimums sowie der Wohnsituation als begünstigende Faktoren.</w:t>
      </w:r>
    </w:p>
    <w:p>
      <w:r>
        <w:rPr>
          <w:b/>
        </w:rPr>
        <w:t>E. 7.3.2</w:t>
      </w:r>
    </w:p>
    <w:p>
      <w:r>
        <w:t>Aufgrund der persönlichen Verhältnisse des Beschwerdeführers ist in casu vom Vorhandensein solcher begünstigender Faktoren auszugehen. Es handelt sich zunächst um einen jungen, gemäss den Akten gesunden Mann, der über Schulbildung und gute Englischkenntnisse verfügt (vgl. A1 S. 2, A8 S. 5). Ausserdem besuchte er während eines Jahres das Lehrerseminar, erteilte Nachhilfeunterricht und arbeitete als Geschäftsmann (vgl. A8 S. 5). In Anbetracht dieser Sachlage kann davon ausgegangen werden, dass es ihm bei einer Rückkehr in seinem Heimatland gelingen wird, wiederum eine Arbeitsstelle zu finden. Im Weiteren besteht in der Heimat ein tragfähiges Beziehungsnetz (Mutter, Ehefrau und drei Kinder, vgl. A1 S. 3), bei dem er Unterkunft finden wird und welches ihm bei der Wiedereingliederung behilflich sein kann. Sodann sind keine weiteren persönlichen Gründe ersichtlich, aufgrund derer geschlossen werden könnte, der Beschwerdeführer geriete im Falle der Rückkehr in eine existenzbedrohende Situation, weshalb der Vollzug der Wegweisung - in Übereinstimmung mit dem BFM - auch als zumutbar zu bezeichnen ist.</w:t>
      </w:r>
    </w:p>
    <w:p>
      <w:r>
        <w:rPr>
          <w:b/>
        </w:rPr>
        <w:t>E. 7.4</w:t>
      </w:r>
    </w:p>
    <w:p>
      <w:r>
        <w:t>Schliesslich obliegt es dem Beschwerdeführer, sich bei der zuständigen Vertretung des Heimatstaates die für eine Rückkehr notwendigen Reisedokumente zu beschaffen (vgl. Art. 8 Abs. 4 AsylG,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Umstands, wonach sich die Rechtsbegehren als aussichtslos erwiesen haben, ist das Gesuch um Gewährung der unentgeltlichen Rechtspflege abzuweisen. Da die Voraussetzungen von Art. 65 Abs. 1 VwVG (bedürftig/nicht aussichtslos) kumulativ erfüllt sein müssen, kann vorliegend darauf verzichtet werden, das Kriterium der Bedürftigkeit zu prüfen. Mangels Obsiegens ist der Antrag auf Zusprechung einer Parteientschädigung gemäss Art. 64 Abs. 1 VwVG gleichermassen abzuweisen. Das Gesuch um Verzicht auf die Erhebung eines Kostenvorschusses wird mit vorliegendem Urteil gegenstandslos.</w:t>
      </w:r>
    </w:p>
    <w:p>
      <w:r>
        <w:rPr>
          <w:b/>
        </w:rPr>
        <w:t>E. 9.2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