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D-97/2011 vom 30. Juni 2011</w:t>
      </w:r>
    </w:p>
    <w:p>
      <w:r>
        <w:t>Bundesverwaltungsgericht, 2011-06-30, DE</w:t>
      </w:r>
    </w:p>
    <w:p>
      <w:r>
        <w:rPr>
          <w:b/>
        </w:rPr>
        <w:t xml:space="preserve">Quelle: </w:t>
      </w:r>
      <w:r>
        <w:t>https://mcp.opencaselaw.ch/entscheid/bvger_D-97_2011</w:t>
      </w:r>
    </w:p>
    <w:p>
      <w:r>
        <w:t>FR: TAF D-97/2011 du 30 juin 2011</w:t>
      </w:r>
    </w:p>
    <w:p>
      <w:r>
        <w:t>IT: TAF D-97/2011 del 30 giugno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vor welchem die beschwerdeführende Partei Schutz sucht (Art. 105 des Asylgesetzes vom 26. Juni 1998 [AsylG, SR 142.31]; Art. 83 Bst. c Ziff. 1 und Bst. d Ziff. 1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(Art. 108 Abs. 1 AsylG; Art. 105 AsylG i.V.m. Art. 37 VGG und Art. 52 Abs. 1 VwVG) eingereichte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auf die Durchführung eines Schriftenwechsels verzichtet.</w:t>
      </w:r>
    </w:p>
    <w:p>
      <w:r>
        <w:rPr>
          <w:b/>
        </w:rPr>
        <w:t>E. 4.1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in diesem Fall im Sinne des rechtlichen Gehörs die Gelegenheit zu geben, sich zu einem abzusehenden negativen Entscheid zumindest schriftlich zu äussern (BVGE 2007/30 E. 5.7 S. 367).</w:t>
      </w:r>
    </w:p>
    <w:p>
      <w:r>
        <w:rPr>
          <w:b/>
        </w:rPr>
        <w:t>E. 4.2</w:t>
      </w:r>
    </w:p>
    <w:p>
      <w:r>
        <w:t>Vorliegend wurde der Beschwerdeführer von der schweizerischen Vertretung in Colombo nicht zu seinem Asylgesuch mündlich befragt. Er hat seine Vorbringen jedoch bereits in seinem Asylgesuch vom 16. Dezember 2007 und den diesem folgenden Eingaben schriftlich dargelegt und dokumentiert. Ausserdem wurde ihm danach mit Zwischen­verfügung des BFM vom 22. Januar 2010 das rechtliche Gehör in Bezug auf die unterbliebene Botschaftsanhörung gewährt und ihm zusätzlich die Möglichkeit eingeräumt, seine bisherigen Sachverhaltsvorbringen zu ergänzen. Er hat von seinem diesbezüglichen Recht auf Stellungnahme in der Folge Gebrauch gemacht. Wie das BFM in der angefochtenen Verfü­gung zu Recht ausführt, erscheint der rechtserhebliche Sachverhalt an­gesichts der schriftlichen Darlegung und Dokumentierung der Asylgründe und der vom Beschwerdeführer am 9. Februar 2010 abgegebenen Stellungnahme vollständig erstellt. Das BFM hat den verfahrensrechtlichen Anforderungen damit Genüge getan.</w:t>
      </w:r>
    </w:p>
    <w:p>
      <w:r>
        <w:rPr>
          <w:b/>
        </w:rPr>
        <w:t>E. 5.1</w:t>
      </w:r>
    </w:p>
    <w:p>
      <w:r>
        <w:t>Das Bundesamt kann ein im Ausland gestelltes Asylgesuch ableh­nen, wenn die asylsuchende Person keine Verfolgung glaubhaft machen oder ihr die Aufnahme in einem Drittstaat zugemutet werden kann (Art. 3, Art. 7 und Art. 52 Abs. 2 AsylG). Gemäss Art. 20 Abs. 2 AsylG bewilligt das BFM einem Asylsuchenden die Einreise zur Abklärung des Sachver­halts, wenn ihm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Bei diesem Entscheid gelten restriktive Voraussetzungen für die Erteilung einer Einreisebewilligung, wobei den Behörden ein weiter Ermessensspielraum zukommt (Entscheidungen und Mitteilungen der Schweizerischen Asylrekurskommission [EMARK] 2004 Nr. 21 E. 2b S. 137).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(EMARK 2004 Nr. 21 E. 2b S. 137, EMARK 2004 Nr. 20 E. 3b S. 130 f., EMARK 1997 Nr. 15 E. 2f S. 131 f.).</w:t>
      </w:r>
    </w:p>
    <w:p>
      <w:r>
        <w:rPr>
          <w:b/>
        </w:rPr>
        <w:t>E. 6.1</w:t>
      </w:r>
    </w:p>
    <w:p>
      <w:r>
        <w:t>Der Beschwerdeführer begründete sein Asylgesuch zunächst damit, er sei in der Vergangenheit diverse Male von Angehörigen der srilanki­schen Polizei beziehungsweise der srilankischen Armee verhaftet und inhaftiert worden. Angesichts des Erlebten hege er Angst vor künftigen behördlichen Übergriffen.</w:t>
      </w:r>
    </w:p>
    <w:p>
      <w:r>
        <w:rPr>
          <w:b/>
        </w:rPr>
        <w:t>E. 6.2</w:t>
      </w:r>
    </w:p>
    <w:p>
      <w:r>
        <w:t>Es ist verständlich, dass der Beschwerdeführer aufgrund der erlebten vier Festnahmen und Inhaftierungen persönlich Ängste vor künftigen behördlichen Schikanen hegt. Nichtsdestotrotz ist mit der Vorinstanz festzuhalten, dass objektiv betrachtet nichts auf eine akute Gefährdung des Beschwerdeführers hindeutet: Zunächst steht aufgrund der Angaben des Beschwerdeführers sowie der von ihm eingereichten Dokumente fest, dass er im Anschluss an seine vier Festnahmen jeweils nach vergleichs­weise kurzer Zeit (ein Tag bis maximal fünf Tage) wieder freigelassen worden ist, was im Ergebnis deutlich dagegen spricht, dass die srilanki­schen Behörden ihn nachhaltig terroristischer Umtriebe verdächtigt ha­ben, was im Übrigen auch seiner Aussage entspricht, nie in solche verwi­ckelt gewesen zu sein (vgl. Eingabe des Beschwerdeführers vom 18. Januar 2008 S. 2 unten). Hinzu tritt die Tatsache, dass die letzte Fest­nahme des Beschwerdeführers mehr als drei Jahre zurückliegt, was ebenfalls dagegen spricht, dass er heute noch in Verbindung mit den Liberation Tigers of Tamil Eelam (LTTE) gebracht wird. Diese Einschätzung lässt sich denn auch ohne weiteres mit der Tatsache erklären, dass der Krieg zwischen der srilankischen Regierung und den separatistischen Befreiungstigern Mitte Mai 2009 mit einem militärischen Sieg der srilankischen Armee über die LTTE zu Ende gegangen ist, und die LTTE heute über keine handlungsfähigen Strukturen mehr zu verfügen scheinen. Entsprechend haben sich auch in Colombo die Kontrollstrukturen gelockert. Namentlich wurde auch die Registrierungspflicht für Tamilen am 30. Dezember 2009 aufgehoben. Vor diesem Hintergrund bestehen keine hinreichenden Anhaltspunkte dafür, dass der Beschwerdeführer zufolge seiner früheren Behelligungen wegen mutmasslicher terroristischer Aktivitäten künftigen behördlichen Verdächtigungen und Übergriffen ausgesetzt sein könnte.</w:t>
      </w:r>
    </w:p>
    <w:p>
      <w:r>
        <w:rPr>
          <w:b/>
        </w:rPr>
        <w:t>E. 6.3</w:t>
      </w:r>
    </w:p>
    <w:p>
      <w:r>
        <w:t>Der Beschwerdeführer macht im Weiteren geltend, Armeeangehörige hätten anlässlich der Beerdigung seines am (...) verstorbenen Onkels, welcher seine Bürgerkriegserlebnisse im Vannigebiet unter ande­rem in den BBC-News publik gemacht habe, Verhöre unter dessen Ver­wandtschaft durchgeführt. Seither habe er seitens des Absenders S._______ bereits verschiedentlich E-Mails erhalten, in denen er mit dem Tode bedroht und nach seiner aktuellen Wohnadresse gefragt worden sei (vgl. Eingaben des Beschwerdeführers vom 24. Mai 2009, vom 27. Juni 2009 und vom 9. Februar 2010 i.V.m. Beschwerde S. 4/5).</w:t>
      </w:r>
    </w:p>
    <w:p>
      <w:r>
        <w:rPr>
          <w:b/>
        </w:rPr>
        <w:t>E. 6.4</w:t>
      </w:r>
    </w:p>
    <w:p>
      <w:r>
        <w:t>Es mag zwar - wie von der Vorinstanz in ihrer Verfügung vom 25. Oktober 2010 vermerkt - zutreffen, dass Personen, die Zeugen von Menschenrechtsverbrechen im Vannigebiet in der Endphase des Krieges zwischen den LTTE und der srilankischen Armee geworden sind, durch öffentliche Aussagen dem Ruf des srilankischen Staates schaden kön­nen, soweit diese Menschenrechtsverletzungen der Armee an den LTTE betreffen. So besehen, kann nicht a priori ausgeschlossen werden, dass entsprechende Aussagen von Augenzeugen auch Verfolgungsmassnah­men seitens des srilankischen Staates nach sich ziehen könnten. Demge­genüber bliebe unerfindlich, weshalb sich derartige Massnahmen auch gegen Verwandte von Augenzeugen richten sollten, soweit diese nicht selber entsprechende Vorkommnisse bezeugen können und überdies durch öffentliche Verlautbarungen potenziell dazu beigetragen haben, das Ansehen des srilankischen Staates zu schädigen. Der Beschwerdeführer hat indessen im fraglichen Zeitraum eigenen Angaben zufolge fernab der Endkampfgebiete gelebt, weshalb nicht ersichtlich ist, weshalb er nach dem Tode seines Onkels seitens der srilankischen Armee via E-Mails Dro­hungen erhalten sollte. Anderweitige Gründe, welche diese E-Mails in ei­nem plausiblen Lichte erscheinen lassen würden, sind den Akten demge­genüber nicht zu entnehmen, weshalb die entsprechenden Behauptun­gen des Beschwerdeführers als unglaubhaft erscheinen.</w:t>
      </w:r>
    </w:p>
    <w:p>
      <w:r>
        <w:rPr>
          <w:b/>
        </w:rPr>
        <w:t>E. 6.5</w:t>
      </w:r>
    </w:p>
    <w:p>
      <w:r>
        <w:t>Zusammenfassend ist festzuhalten, dass es dem Beschwerdeführer nicht gelungen ist, eine Verfolgung im Sinne von Art. 3 AsylG glaubhaft zu machen. Das BFM hat demnach dem Beschwerdeführer zu Recht die Einreise in die Schweiz verweigert beziehungsweise dessen Asylgesuch abgelehnt.</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wären dessen Kosten grundsätzlich dem Beschwerdeführer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