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D-978/2013 vom 16. April 2013</w:t>
      </w:r>
    </w:p>
    <w:p>
      <w:r>
        <w:t>Bundesverwaltungsgericht, 2013-04-16, DE</w:t>
      </w:r>
    </w:p>
    <w:p>
      <w:r>
        <w:rPr>
          <w:b/>
        </w:rPr>
        <w:t xml:space="preserve">Quelle: </w:t>
      </w:r>
      <w:r>
        <w:t>https://mcp.opencaselaw.ch/entscheid/bvger_D-978_2013</w:t>
      </w:r>
    </w:p>
    <w:p>
      <w:r>
        <w:t>FR: TAF D-978/2013 du 16 avril 2013</w:t>
      </w:r>
    </w:p>
    <w:p>
      <w:r>
        <w:t>IT: TAF D-978/2013 del 16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Person Schutz sucht (Art. 105 AsylG; Art. 83 Bst. d Ziff. 1 des Bundesgerichtsgesetzes vom 17. Juni 2005 [BGG, SR 173.110]).</w:t>
      </w:r>
    </w:p>
    <w:p>
      <w:r>
        <w:rPr>
          <w:b/>
        </w:rPr>
        <w:t>E. 1.2</w:t>
      </w:r>
    </w:p>
    <w:p>
      <w:r>
        <w:t>Gemäss der Übergangsbestimmung des Bundesgesetzes vom 28. September 2012 (Dringliche Änderungen des Asylgesetzes), in Kraft sei 29. September 2012 (AS 2012 5359), gelten für Asylgesuche, die im Ausland vor dem Inkrafttreten der Änderung vom 28. September 2012 gestellt worden sind, die Artikel 12, 19, 20, 41 Absatz 2, 52 und 68 in der bisherigen Fassung des AsylG.</w:t>
      </w:r>
    </w:p>
    <w:p>
      <w:r>
        <w:rPr>
          <w:b/>
        </w:rPr>
        <w:t>E. 1.3</w:t>
      </w:r>
    </w:p>
    <w:p>
      <w:r>
        <w:t>Das Verfahren richtet sich nach dem VwVG, dem VGG und dem BGG, soweit das AsylG nichts anderes bestimmt (Art. 37 VGG und Art. 6 AsylG).</w:t>
      </w:r>
    </w:p>
    <w:p>
      <w:r>
        <w:rPr>
          <w:b/>
        </w:rPr>
        <w:t>E. 1.4</w:t>
      </w:r>
    </w:p>
    <w:p>
      <w:r>
        <w:t>Das genaue Datum der Eröffnung der BFM-Verfügung vom 19. November 2012 ist mangels Vorliegens einer Empfangsbestätigung nicht bekannt. Zugunsten der Beschwerdeführerin ist von der Rechtzeitigkeit der eingereichten Beschwerde auszugehen. Da es sich um eine Laienbeschwerde handelt, sind keine hohen formellen Anforderungen an die Beschwerdeschrift zu stellen. Die Beschwerde ist überdies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Überdies erfolgte die weitere Eingabe vom 25. Februar 2013 in deutscher Sprache. Die Beschwerde ist insoweit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 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4.3</w:t>
      </w:r>
    </w:p>
    <w:p>
      <w:r>
        <w:t>Die Beschwerdeführerin wiederholt in der Beschwerdeschrift, insbesondere aber auch in ihrer Eingabe vom 25. Februar 2013, die bereits in ihrem Asylgesuch enthaltenen Angaben und verweist auf ihre schwierige Situation in Khartum. Zudem macht sie gesundheitliche Schwierigkeiten geltend, aufgrund ihrer B._______ benötige sie eine (...)behandlung.</w:t>
      </w:r>
    </w:p>
    <w:p>
      <w:r>
        <w:rPr>
          <w:b/>
        </w:rPr>
        <w:t>E. 4.4</w:t>
      </w:r>
    </w:p>
    <w:p>
      <w:r>
        <w:t>Das Bundesverwaltungsgericht kommt nach Prüfung der Akten zum Schluss, dass die Vorinstanz mit zutreffenden Erwägungen die Einreisebewilligung verweigert und das Asylgesuch abgelehnt hat, weshalb vorab auf die entsprechenden Erwägungen verwiesen werden kann. So hat das Bundesamt richtigerweise berücksichtigt, dass die Situation der zahlreichen äthiopischen und eritreischen Flüchtlinge im Sudan nicht einfach sei. Dennoch bestehen im vorliegenden Verfahren keine konkreten Anhaltspunkte für die Annahme, dass der Beschwerdeführerin ein weiterer Verbleib im Sudan nicht zumutbar oder nicht möglich wäre. Die Beschwerdeführerin lebt mit zwei ihrer mittlerweile erwachsenen Kindern (geboren (...) und (...) [vgl. Akten BFM A 6/12 S. 2]) seit vielen Jahren im Sudan. Dabei ist an dieser Stelle der Klarheit halber festzuhalten, dass einzig die Beschwerdeführerin am vorliegenden Verfahren beteiligt ist. Zwar gab die Beschwerdeführerin im Fragebogen des BFM an, sie wolle ihre Kinder in das Asylgesuch miteinbeziehen (vgl. Akten BFM A 6/12 S. 2), doch richtet sich die angefochtene Verfügung einzig an die Beschwerdeführerin selber. Ihre erwachsenen Kinder hätten demgegenüber eigene Gesuche einzureichen gehabt. Es erübrigt sich deshalb, auf die von der Beschwerdeführerin geltend gemachten gesundheitlichen Beeinträchtigungen der Tochter näher einzugehen. Weiter ist mit dem BFM darauf hinzuweisen, dass sich die Beschwerdeführerin im Sudan als Flüchtling hat registrieren lassen und sie das Flüchtlingslager, wo ihre Versorgung grundsätzlich gewährleistet gewesen wäre, freiwillig verlassen hat. Dass eine Rückkehr dorthin nicht möglich wäre, macht die Beschwerdeführerin nicht geltend. Angesichts der eingereichten Beilagen ist sodann davon auszugehen, dass die Beschwerdeführerin Zugang zu medizinischer Versorgung hatte, die im Übrigen auch im Flüchtlingslager gewährleistet wäre. Schliesslich ist darauf hinzuweisen, dass die Beschwerdeführerin keinerlei Anknüpfungspunkte zur Schweiz vorträgt, welche zur Annahme führen könnten, dass es gerade die Schweiz ist, die ihr den erforderlichen Schutz gewähren soll.</w:t>
      </w:r>
    </w:p>
    <w:p>
      <w:r>
        <w:rPr>
          <w:b/>
        </w:rPr>
        <w:t>E. 4.5</w:t>
      </w:r>
    </w:p>
    <w:p>
      <w:r>
        <w:t>Zusammenfassend ist mit dem BFM davon auszugehen, der weitere Aufenthalt im Sudan sei für die Beschwerdeführerin zumutbar und möglich und sie sei nicht auf den subsidiären Schutz der Schweiz angewiesen. Nach dem Gesagten hat das BFM das Asylgesuch der Beschwerdeführerin aus dem Ausland zu Recht abgelehnt und ihr die Einreise in die Schweiz verweigert.</w:t>
      </w:r>
    </w:p>
    <w:p>
      <w:r>
        <w:rPr>
          <w:b/>
        </w:rPr>
        <w:t>E. 5</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6</w:t>
      </w:r>
    </w:p>
    <w:p>
      <w:r>
        <w:t>Bei diesem Ausgang des Verfahrens wären die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