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D-978/2011 vom 2. September 2011</w:t>
      </w:r>
    </w:p>
    <w:p>
      <w:r>
        <w:t>Bundesverwaltungsgericht, 2011-09-02, DE</w:t>
      </w:r>
    </w:p>
    <w:p>
      <w:r>
        <w:rPr>
          <w:b/>
        </w:rPr>
        <w:t xml:space="preserve">Quelle: </w:t>
      </w:r>
      <w:r>
        <w:t>https://mcp.opencaselaw.ch/entscheid/bvger_D-978_2011</w:t>
      </w:r>
    </w:p>
    <w:p>
      <w:r>
        <w:t>FR: TAF D-978/2011 du 2 septembre 2011</w:t>
      </w:r>
    </w:p>
    <w:p>
      <w:r>
        <w:t>IT: TAF D-978/2011 del 2 settembre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grundsätzlich (mit einer hier nicht zutreffenden Ausnahme)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Dem vorinstanzlichen Aktendossier ist zu entnehmen, dass die Botschaft nach einem erfolglosen ersten Zustellversuch vom 29. Februar 2010 die Verfügung des BFM mit vom 27. Dezember 2010 datierten Schreiben erneut an den Beschwerdeführer übermittelte (siehe Sachverhalt Bst. C. oben). Es sind jedoch weder Angaben dazu enthalten, wann die vorinstanzliche Verfügung die Botschaft auf dem Postweg verliess, noch liegt eine Empfangsbestätigung seitens des Beschwerdeführers vor. Der genaue Zeitpunkt der Eröffnung der angefochtenen Verfügung steht somit nicht fest. Indessen trägt die Beweislast für die erfolgte Zustellung und deren Zeitpunkt die Behörde, welche die Zustellung veranlasst hat (vgl. Felix Uhlmann/Alexandra Schwank, in: Bernhard Waldmann/Philippe Weissenberger [Hrsg.], Praxiskommentar VwVG, Zürich/Basel/Genf 2009, Art. 34, N 10). Das Begleitschreiben der Botschaft bei der zweiten Versendung der Verfügung datiert - wie bereits erwähnt - auf den 27. Dezember 2010. Es ist jedoch nicht klar, ob dieses Schreiben zusammen mit dem Entscheid des BFM auch an demselben Tag von der Botschaft bei der srilankischen Post aufgegeben wurde. Die Eingabe des Beschwerdeführers vom 11. Januar 2011 ging bei der Botschaft am 28. Januar 2011 ein. Unter den gegebenen Umständen eines Asylverfahrens im Ausland ist somit im vorliegenden Fall davon auszugehen, dass die Beschwerde innert der gesetzlichen Frist von 30 Tagen (Art. 108 Abs. 1 AsylG) erhoben worden ist, da nicht davon auszugehen ist, dass die Verfügung des BFM dem Beschwerdeführer vor dem 29. Dezember 2010 in L._______ eröffnet wurde.</w:t>
      </w:r>
    </w:p>
    <w:p>
      <w:r>
        <w:rPr>
          <w:b/>
        </w:rPr>
        <w:t>E. 1.4</w:t>
      </w:r>
    </w:p>
    <w:p>
      <w:r>
        <w:t>Die Beschwerde ist somit als frist- und formgerecht eingereicht zu betrachten.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In formeller Hinsicht ist zunächst festzuhalten, dass gemäss Art. 19 Abs. 1 AsylG ein Asylgesuch im Ausland bei einer schweizerischen Vertretung gestellt werden kann,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 Im vorliegenden Fall wurden diesen gesetzlichen Bestimmungen durch die Einholung detaillierter Informationen durch die schweizerische Botschaft, die Befragung des Beschwerdeführers sowie den entsprechenden Bericht der schweizerischen Vertretung praxisgemäss Genüge getan (vgl. BVGE 2007/30).</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5.2</w:t>
      </w:r>
    </w:p>
    <w:p>
      <w:r>
        <w:t>Das Bundesamt kann ein im Ausland gestelltes Asylgesuch ablehnen, wenn die asylsuchenden Personen keine Verfolgung glaubhaft machen können oder ihnen die Aufnahme in einem Drittstaat zugemutet werden kann. Glaubhaft gemacht ist die Verfolgung,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6.1</w:t>
      </w:r>
    </w:p>
    <w:p>
      <w:r>
        <w:t>Gemäss Art. 20 Abs. 2 AsylG bewilligt das BFM Asylsuchenden die Einreise zur Abklärung des Sachverhalts,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6.2</w:t>
      </w:r>
    </w:p>
    <w:p>
      <w:r>
        <w:t>Bei diesem Entscheid gelten restriktive Voraussetzungen für die Erteilung der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2004 Nr. 21 E. 2b, EMARK 1997 Nr. 15 E. 2.e-g). Ausschlaggebend für die Erteilung der Einreisebewilligung ist die Schutzbedürftigkeit der betroffenen Person (vgl. EMARK 1997 Nr. 15 E. 2c), mithin die Frage, ob eine Gefährdung im Sinne von Art. 3 AsylG glaubhaft gemacht wird und ob der Verbleib am Aufenthaltsort für die Dauer der Sachverhaltsabklärung zugemutet werden kann.</w:t>
      </w:r>
    </w:p>
    <w:p>
      <w:r>
        <w:rPr>
          <w:b/>
        </w:rPr>
        <w:t>E. 7.1</w:t>
      </w:r>
    </w:p>
    <w:p>
      <w:r>
        <w:t>Einleitend ist festzuhalten, dass sich der Beschwerdeführer in seiner Beschwerde vom 11. Januar 2011 und dem zusätzlich eingereichten Schreiben vom 18. Januar 2011 nicht explizit mit den substanziierten und überzeugenden Erwägungen der Vorinstanz auseinandersetzt. Vielmehr wiederholt er in verkürzter Version seine bereits im Verfahren vor dem Bundesamt gemachten Sachverhaltsvorbringen und verweist pauschal auf seine schwierigen Lebensbedingungen in Sri Lanka. Er und seine beiden Brüder T. K. und T. S. seien Opfer wiederholter Verhaftungen und Folter. Auch seine übrigen Familienangehörigen würden immer wieder belästigt und bedroht. Er müsse sich seit geraumer Zeit versteckt halten, da er sich vor einer weiteren Entführung und gar einer Ermordung fürchte. Er könne sich nicht auf den Schutz der srilankischen Behörden verlassen. Zudem sei auch die aktuelle Situation in L._______ sehr gefährlich.</w:t>
      </w:r>
    </w:p>
    <w:p>
      <w:r>
        <w:rPr>
          <w:b/>
        </w:rPr>
        <w:t>E. 7.2</w:t>
      </w:r>
    </w:p>
    <w:p>
      <w:r>
        <w:t>Insgesamt vermitteln die vom Beschwerdeführer geltend gemachten Vorbringen nicht den Eindruck zielgerichtet und asylrelevant verfolgter Personen vor Ort. An dieser Einschätzung vermögen auch die beiden eher kurzen Festnahmen im August 2006 sowie im August/September 2008 nichts zu ändern. Bei einem ernsthaften Verdacht der staatlichen Behörden, dass sich der Beschwerdeführer an terroristischen Aktivitäten beteiligt hätte oder sonst eine Gefahr für die Sicherheit des srilankischen Staates darstellen würde, wäre er nicht nach relativ kurzer Zeit beziehungsweise durch die Bürgschaft seines Bruders T. K. wieder frei gelassen worden. Gemäss Erkenntnissen der schweizerischen Asylbehörden geht der srilankische Staat nämlich rigoros gegen Terrorverdächtige vor. Zudem spricht auch die Erlangung eines Passes am 2. März 2009 in D._______ gegen die aktuell geltend gemachte Gefährdungssituation, welche vor diesem Hintergrund als unglaubhaft bewertet werden muss. Die Furcht des Beschwerdeführers vor einer Verfolgung in seiner Heimat ist somit unbegründet. An dieser Einschätzung vermögen weder die im vorinstanzlichen Verfahren eingereichten Beweismittel noch das im Beschwerdeverfahren eingereichte Schreiben eines Anwalts etwas zu ändern.</w:t>
      </w:r>
    </w:p>
    <w:p>
      <w:r>
        <w:rPr>
          <w:b/>
        </w:rPr>
        <w:t>E. 7.3</w:t>
      </w:r>
    </w:p>
    <w:p>
      <w:r>
        <w:t>Das Bundesverwaltungsgericht hat sodann im Grundsatzurteil BVGE 2008/2 eine Lageanalyse betreffend Sri Lanka vorgenommen und gelangte dabei zum Schluss, dass sich die allgemeine Sicher­heitslage seit Januar 2006 insgesamt, insbesondere aber in D._______, kontinuierlich verschlechtert habe. Seit Ergehen dieses Urteils am 14. Februar 2008 hatte sich der bewaffnete Konflikt zwischen der Re­gierung und den LTTE zunächst weiter zugespitzt. Nach der Rückeroberung des letzten von den LTTE kontrollierten Gebietes im Raum Mullaitivu indessen wurde am 18. Mai 2009 seitens der Regierung der endgültige Sieg über die LTTE verkündet und der Bürgerkrieg offiziell für beendet erklärt. Nach dieser Niederlage der LTTE haben die srilankischen Behörden - na­mentlich im Grossraum Colombo - die Sicherheitsmassnahmen zwar nur schrittweise gelockert, und die verschiedenen Kontrollmassnahmen richteten sich vor allem gegen die tamilische Bevölkerung. Es kommt ihnen indes aufgrund mangelnder Intensität in der Regel kein Verfol­gungscharakter im Sinne von Art. 3 AsylG zu. Der aktuelle beziehungsweise der den Asylbehörden zuletzt bekannte Wohnsitz des Beschwerdeführers ist im nördlichen Teil von Sri Lanka in M._______ (Jaffna District), wo er - eigenen Angaben zufolge war er ohnehin nie Mitglied der LTTE und gemäss Akten konnten ihm die srilankischen Behörden auch keine Tätigkeit für diese Organisation nachweisen - nach jüngsten Erkenntnissen des Gerichts nicht mit gezielten Repressionen zu rechnen hat. Er vermag mithin nicht substanziiert darzutun, inwiefern das BFM zu Unrecht geschlossen habe, er sei nicht schutzbedürftig im Sinne des AsylG.</w:t>
      </w:r>
    </w:p>
    <w:p>
      <w:r>
        <w:rPr>
          <w:b/>
        </w:rPr>
        <w:t>E. 8</w:t>
      </w:r>
    </w:p>
    <w:p>
      <w:r>
        <w:t>Zusammenfassend ist festzustellen, dass der Beschwerdeführer nicht schutzbedürftig im Sinne von Art. 3 AsylG ist. Aufgrund der vorstehenden Erwägungen erübrigt es sich, auf die weiteren Ausführungen und die im vorinstanzlichen Verfahren sowie im Beschwerdeverfahren eingereichten Beweismittel einzugehen, da sie am festgestellten Ergebnis nichts zu ändern vermögen. Das BFM hat demnach zu Recht die Einreise in die Schweiz nicht bewilligt und das Asylgesuch abgelehnt.</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von Fr. 600.- an sich dem Beschwerdeführer aufzuerlegen (Art. 63 Abs. 1 VwVG); aus verwaltungsökonomischen Gründen ist indessen in Anwendung von Art. 6 des Reglements vom 21. Februar 2008 über die Kosten und Entschädigungen vor dem Bundesverwaltungsgericht (VGKE, SR 173.320.2) auf das Erheben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