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D-9662/2025 vom 19. November 2025</w:t>
      </w:r>
    </w:p>
    <w:p>
      <w:r>
        <w:t>Bundesverwaltungsgericht, 2025-11-19, DE</w:t>
      </w:r>
    </w:p>
    <w:p>
      <w:r>
        <w:rPr>
          <w:b/>
        </w:rPr>
        <w:t xml:space="preserve">Quelle: </w:t>
      </w:r>
      <w:r>
        <w:t>https://mcp.opencaselaw.ch/entscheid/bvger_D-9662_2025_d20251119</w:t>
      </w:r>
    </w:p>
    <w:p>
      <w:r>
        <w:t>FR: TAF D-9662/2025 du 19 novembre 2025</w:t>
      </w:r>
    </w:p>
    <w:p>
      <w:r>
        <w:t>IT: TAF D-9662/2025 del 19 novembre 2025</w:t>
      </w:r>
    </w:p>
    <w:p>
      <w:pPr>
        <w:pStyle w:val="Heading2"/>
      </w:pPr>
      <w:r>
        <w:t>Regeste</w:t>
      </w:r>
    </w:p>
    <w:p>
      <w:r>
        <w:t>Asyl und Wegweisung (Mehrfachgesuch) | Asyl und Wegweisung (Mehrfachgesuch); Verfügung des SEM vom 19. November 2025 /</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ist nach fristgerechter Leistung des Kos- tenvorschusses – vorbehältlich E. 2 – einzutreten (Art. 105 und Art. 108 Abs. 1 AsylG und Art. 52 Abs. 1 VwVG).</w:t>
      </w:r>
    </w:p>
    <w:p>
      <w:r>
        <w:rPr>
          <w:b/>
        </w:rPr>
        <w:t>E. 2</w:t>
      </w:r>
    </w:p>
    <w:p>
      <w:r>
        <w:t>Auf den Antrag auf Erteilung der aufschiebenden Wirkung ist mangels Rechtsschutzinteresses nicht einzutreten, da der Beschwerde von Geset- zes wegen aufschiebende Wirkung zukommt (Art. 55 Abs. 1 VwVG i.V.m. Art. 42 AsylG), und diese von der Vorinstanz nicht entzogen wurde.</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w:t>
      </w:r>
    </w:p>
    <w:p>
      <w:r>
        <w:t>D-9662/2025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6.1</w:t>
      </w:r>
    </w:p>
    <w:p>
      <w:r>
        <w:t>Das SEM führte zur Begründung seines Entscheids aus, Verfolgung durch Dritte sei nur dann asylrelevant, wenn der Herkunftsstaat keinen an- gemessenen Schutz gewähre. Die türkischen Behörden seien jedoch fähig und bereit, Frauen vor Angriffen durch private Dritte – insbesondere im fa- miliären Kontext – zu schützen. Zudem hätten Betroffene effektiven Zu- gang zur vorhandenen Schutzinfrastruktur (Verweis auf die einschlägige Rechtsprechung des BVGers). Bedrohte Frauen seien daher innerfamiliä- ren Übergriffen nicht schutzlos ausgeliefert. Die Beschwerdeführerin 1 habe den grössten Teil ihres Lebens in Istanbul verbracht. Sie könne sich bei Bedarf an ein Frauenhaus oder an ein Familiengericht wenden. In der Türkei habe sie bisher offenbar noch nie um polizeilichen Schutz ersucht. Es sei ihr jedoch zuzumuten, dort entsprechende Schritte einzuleiten, zu- mal die türkischen Behörden offensichtlich im Zusammenhang mit der Ver- gewaltigung der Beschwerdeführerin 3 pflichtgemäss tätig geworden seien. Da sie bisher nicht alles Mögliche und Zumutbare unternommen habe, um im Heimatland Schutz zu erhalten, seien die Vorbringen nicht asylrelevant.</w:t>
      </w:r>
    </w:p>
    <w:p>
      <w:r>
        <w:rPr>
          <w:b/>
        </w:rPr>
        <w:t>E. 6.2</w:t>
      </w:r>
    </w:p>
    <w:p>
      <w:r>
        <w:t>In der Beschwerde wird entgegnet, in der Türkei könnten die Beschwer- deführenden keinen tatsächlichen und zureichenden Schutz erwarten. Der Neffe des Ehemannes/Vaters, welcher die Beschwerdeführerin 3 sexuell missbraucht habe, sei zwar verurteilt worden, befinde sich aber faktisch in Freiheit. Nach der Strafanzeige gegen ihn sei die Beschwerdeführerin 1 zudem massiv bedroht worden. Von den Behörden habe sie keinen Schutz erhalten. Trotz Frauenhäusern und Schutzgesetzen würden in der Türkei nach wie vor zahlreiche Frauen Opfer von tödlicher Gewalt. Die Beschwer-</w:t>
      </w:r>
    </w:p>
    <w:p>
      <w:r>
        <w:t>D-9662/2025 Seite 6 deführerin 1 habe weitere schwere Übergriffe verhindern wollen und sich deswegen nicht an die Behörden gewandt oder ein Frauenhaus aufge- sucht; dieses Verhalten könne ihr nicht vorgeworfen werden.</w:t>
      </w:r>
    </w:p>
    <w:p>
      <w:r>
        <w:rPr>
          <w:b/>
        </w:rPr>
        <w:t>E. 6.3</w:t>
      </w:r>
    </w:p>
    <w:p>
      <w:r>
        <w:t>Das Bundesverwaltungsgericht bejaht in gefestigter Praxis die grund- sätzliche Schutzbereitschaft und Schutzfähigkeit des türkischen Staates im Umgang mit Opfern häuslicher Gewalt und geht davon aus, dass insbe- sondere in den städtischen Gebieten die Schutzinfrastruktur als hinrei- chend zu erachten ist. Hinsichtlich des sexuellen Übergriffs durch einen Cousin auf die Beschwerdeführerin 3 sind die türkischen Behörden offen- sichtlich tätig geworden, und der Täter wurde erstinstanzlich verurteilt. Dies spricht ebenfalls für eine funktionierende Schutzinfrastruktur. Die Be- schwerdeführerin 1 hat die Übergriffe und Drohungen ihres Ehemannes in der Türkei bisher nicht angezeigt und im Heimatland auch nicht anderweitig um Schutz nachgesucht (beispielsweise in einem Frauenhaus). Es ist ihr indes entgegen den Ausführungen in der Beschwerde durchaus zuzumu- ten, bei einer Rückkehr in die Türkei gegebenenfalls die dort vorhandenen Opferschutzangebote in Anspruch zu nehmen und rechtlich gegen allfällige weitere Behelligungen durch den Ehemann vorzugehen. Die geltend ge- machte Furcht vor einer Verfolgung durch den Ehemann/Kindsvater ist da- her nicht asylrelevant.</w:t>
      </w:r>
    </w:p>
    <w:p>
      <w:r>
        <w:rPr>
          <w:b/>
        </w:rPr>
        <w:t>E. 6.4</w:t>
      </w:r>
    </w:p>
    <w:p>
      <w:r>
        <w:t>Nach dem Gesagten hat das SEM die Flüchtlingseigenschaft der Be- schwerdeführenden zu Recht verneint und das Mehrfachgesuch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D-9662/2025 Seite 7 gesetzlichen Bestimmungen über die vorläufige Aufnahme (Art. 44 AsylG; Art. 83 Abs. 1 AIG [SR 142.20]).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Ausschaf- fung in den Heimatstaat dort mit beachtlicher Wahrscheinlichkeit – im Sinne eines «real risk» (vgl. dazu das Urteil des EGMR EGMR Saadi ge- gen Italien vom 28. Februar 2008, Grosse Kammer 37201/06, §§ 124–127 m.w.H.) – einer nach Art. 3 EMRK oder Art. 1 FK verbotenen Strafe oder Behandlung ausgesetzt wären. Auch wenn sich die allgemeine Menschen- rechtssituation in der Türkei in den letzten Jahren (namentlich seit dem Putschversuch im Jahr 2016) verschlechtert hat, lässt sie den Wegwei-</w:t>
      </w:r>
    </w:p>
    <w:p>
      <w:r>
        <w:t>D-9662/2025 Seite 8 sungsvollzug im heutigen Zeitpunkt ebenfalls nicht als unzulässig erschei- nen.</w:t>
      </w:r>
    </w:p>
    <w:p>
      <w:r>
        <w:rPr>
          <w:b/>
        </w:rPr>
        <w:t>E. 8.2.3</w:t>
      </w:r>
    </w:p>
    <w:p>
      <w:r>
        <w:t>Demnach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Situation allgemeiner Gewalt (vgl. Refe- renzurteil des BVGer E-4103/2024 vom 8. November 2024 E. 13.2; Urteil des BVGer D-3131/2021 vom 29. Januar 2025 E. 9.4.2).</w:t>
      </w:r>
    </w:p>
    <w:p>
      <w:r>
        <w:rPr>
          <w:b/>
        </w:rPr>
        <w:t>E. 8.3.2</w:t>
      </w:r>
    </w:p>
    <w:p>
      <w:r>
        <w:t>Es sind auch keine individuellen Gründe ersichtlich, welche einem Vollzug der Wegweisung entgegenstehen könnten. Wie bereits das SEM zutreffend festgestellt hat, verfügen die Beschwerdeführenden in der Tür- kei über zahlreiche Verwandte, welche sie bei Bedarf unterstützen könn- ten, so namentlich die Mutter und Geschwister der Beschwerdeführerin 1 in D._______ (Bezirk E._______, Provinz F._______) sowie mehrere On- kel der Beschwerdeführerin 1 in G._______ (vgl. dazu Vorhaben […], A44 F20 ff.). Zudem kann die Beschwerdeführerin 1 Arbeitserfahrung in ver- schiedenen Bereichen vorweisen; zuletzt hat sie (bis im August 2022) sie- ben Jahre als (…) gearbeitet (A44 F15 ff.). Die Wiederaufnahme einer Er- werbstätigkeit ist ihr daher grundsätzlich ohne weiteres zuzumuten. Soweit in der Beschwerde auf den angeschlagenen Gesundheitszustand der Be- schwerdeführenden verwiesen wird, ist Folgendes festzustellen: Hinsicht- lich der bereits damals bei den Beschwerdeführerinnen bestehenden psy- chischen Probleme ([…] [Beschwerdeführerin 3], psychisch labiler Zustand mit temporären suizidalen Äusserungen (Beschwerdeführerin 1), wurde im ordentlichen Asylverfahren erwogen, die psychiatrische Gesundheitsver- sorgung sei in der Türkei grundsätzlich gewährleistet, die Beschwerdefüh- renden könnten sich somit auch in der Türkei (weiter-)behandeln lassen. Im Übrigen sei die Beschwerdeführerin 3 schon in der Türkei in regelmäs- siger psychologischer Behandlung bei einem Kinderspezialisten gewesen. Sie könne somit in ein bestehendes psychologisches Setting zurückkehren (vgl. dazu namentlich das Beschwerdeurteil D-114/2024 vom 24. Septem- ber 2024 E. 8.3). Die im vorinstanzlichen Mehrfachverfahren eingereichten</w:t>
      </w:r>
    </w:p>
    <w:p>
      <w:r>
        <w:t>D-9662/2025 Seite 9 Arztberichte betreffend die Beschwerdeführerinnen, in welchen über den Verlauf ihrer jeweiligen Behandlungen berichtet und der Beschwerdeführe- rin 1 eine (…) attestiert wird, vermögen an dieser Einschätzung nichts zu ändern, ebenso wenig die Tatsache, dass beim Beschwerdeführer den ak- tenkundigen Arztberichten zufolge im Juni respektive August 2025 (…) di- agnostiziert wurden; diese Erkrankungen können in der Türkei ebenfalls adäquat behandelt werden. Nach dem Gesagten ist nicht davon auszuge- hen, dass die Beschwerdeführenden bei einer Rückkehr in die Türkei aus wirtschaftlichen, sozialen oder medizinischen Gründen in eine existenzielle Notlage geraten würden. Sodann steht auch das Kindeswohl (Art. 3 Abs. 1 des Übereinkommens vom 20. November 1989 über die Rechte des Kin- des [KRK, SR 0.107]; vgl. BVGE 2009/51 E. 5.6) einer Rückkehr der Be- schwerdeführenden in die Türkei nicht entgegen, zumal die heute (…)- und (…)-jährigen Kinder sich erst seit zwei Jahren in der Schweiz befinden, ihre Sozialisation damit überwiegend in der Türkei stattgefunden hat, keine kon- kreten Anhaltspunkte dafür bestehen, dass bereits eine eigentliche Verwur- zelung in der Schweiz stattgefunden hat und damit auch nicht von einer Entwurzelung der Kinder im Falle einer Rückkehr ins Heimatland auszuge- hen ist. Zudem könnten sie zusammen mit ihrer primären Bezugsperson, der Beschwerdeführerin 1, in die Türkei zurückkehren und ihre schulische Ausbildung in gewohnter Umgebung sowie in ihrer Muttersprache fortset- zen. Ihre Reintegrationschancen sind daher als gut zu bezeichnen.</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8.5</w:t>
      </w:r>
    </w:p>
    <w:p>
      <w:r>
        <w:t>Zusammenfassend ist festzustellen, dass die Vorinstanz den Wegwei- 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w:t>
      </w:r>
    </w:p>
    <w:p>
      <w:r>
        <w:t>D-9662/2025 Seite 10 (Art. 106 Abs. 1 AsylG). Die Beschwerde ist demnach abzuweisen, soweit darauf einzutreten ist.</w:t>
      </w:r>
    </w:p>
    <w:p>
      <w:r>
        <w:rPr>
          <w:b/>
        </w:rPr>
        <w:t>E. 10</w:t>
      </w:r>
    </w:p>
    <w:p>
      <w:r>
        <w:t>Bei diesem Ausgang des Verfahrens sind dessen Kosten den Beschwerde- führenden aufzuerlegen (Art. 63 Abs. 1 VwVG) und auf insgesamt Fr. 2'000.– festzusetzen (Art. 1–3 des Reglements vom 21. Februar 2008 über die Kosten und Entschädigungen vor dem Bundesverwaltungsgericht [VGKE, SR 173.320.2]). Dieser Betrag ist durch den am 29. Dezember 2025 in gleicher Höhe geleisteten Kostenvorschuss gedeckt.</w:t>
      </w:r>
    </w:p>
    <w:p>
      <w:r>
        <w:t>(Dispositiv nächste Seite)</w:t>
      </w:r>
    </w:p>
    <w:p>
      <w:r>
        <w:t>D-9662/2025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