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D-9662/2025 vom 22. Januar 2026</w:t>
      </w:r>
    </w:p>
    <w:p>
      <w:r>
        <w:t>Bundesverwaltungsgericht, 2026-01-22, DE</w:t>
      </w:r>
    </w:p>
    <w:p>
      <w:r>
        <w:rPr>
          <w:b/>
        </w:rPr>
        <w:t xml:space="preserve">Quelle: </w:t>
      </w:r>
      <w:r>
        <w:t>https://mcp.opencaselaw.ch/entscheid/bvger_D-9662_2025</w:t>
      </w:r>
    </w:p>
    <w:p>
      <w:r>
        <w:t>FR: TAF D-9662/2025 du 22 janvier 2026</w:t>
      </w:r>
    </w:p>
    <w:p>
      <w:r>
        <w:t>IT: TAF D-9662/2025 del 22 gennaio 2026</w:t>
      </w:r>
    </w:p>
    <w:p>
      <w:pPr>
        <w:pStyle w:val="Heading2"/>
      </w:pPr>
      <w:r>
        <w:t>Regeste</w:t>
      </w:r>
    </w:p>
    <w:p>
      <w:r>
        <w:t>Asyl und Wegweisung (Mehrfachgesuch)</w:t>
      </w:r>
    </w:p>
    <w:p>
      <w:pPr>
        <w:pStyle w:val="Heading2"/>
      </w:pPr>
      <w:r>
        <w:t>Erwägungen</w:t>
      </w:r>
    </w:p>
    <w:p>
      <w:r>
        <w:rPr>
          <w:b/>
        </w:rPr>
        <w:t>E. 1.1</w:t>
      </w:r>
    </w:p>
    <w:p>
      <w:r>
        <w:t>Das Bundesverwaltungsgericht entscheidet auf dem Gebiet des Asyls in der Regel – und so auch vorliegend – endgültig über Beschwerden ge- gen Verfügungen (Art. 5 VwVG) des SEM (Art. 105 (Art. 105 AsylG [SR 142.31] i.V.m. Art. 31–33 VGG; Art. 83 Bst. d Ziff. 1 BGG).</w:t>
      </w:r>
    </w:p>
    <w:p>
      <w:r>
        <w:rPr>
          <w:b/>
        </w:rPr>
        <w:t>E. 1.2</w:t>
      </w:r>
    </w:p>
    <w:p>
      <w:r>
        <w:t>Das Verfahren richtet sich nach dem VwVG, dem VGG und dem BGG, soweit das AsylG nichts anderes bestimmt (Art. 37 VGG und Art. 6 AsylG).</w:t>
      </w:r>
    </w:p>
    <w:p>
      <w:r>
        <w:rPr>
          <w:b/>
        </w:rPr>
        <w:t>E. 1.3</w:t>
      </w:r>
    </w:p>
    <w:p>
      <w:r>
        <w:t>Die Beschwerdeführenden sind als Verfügungsadressaten zur Be- schwerdeführung legitimiert (Art. 48 Abs. 1 VwVG). Auf die frist- und form- gerecht eingereichte Beschwerde ist nach fristgerechter Leistung des Kos- tenvorschusses – vorbehältlich E. 2 – einzutreten (Art. 105 und Art. 108 Abs. 1 AsylG und Art. 52 Abs. 1 VwVG).</w:t>
      </w:r>
    </w:p>
    <w:p>
      <w:r>
        <w:rPr>
          <w:b/>
        </w:rPr>
        <w:t>E. 2</w:t>
      </w:r>
    </w:p>
    <w:p>
      <w:r>
        <w:t>Auf den Antrag auf Erteilung der aufschiebenden Wirkung ist mangels Rechtsschutzinteresses nicht einzutreten, da der Beschwerde von Geset- zes wegen aufschiebende Wirkung zukommt (Art. 55 Abs. 1 VwVG i.V.m. Art. 42 AsylG), und diese von der Vorinstanz nicht entzogen wurde.</w:t>
      </w:r>
    </w:p>
    <w:p>
      <w:r>
        <w:rPr>
          <w:b/>
        </w:rPr>
        <w:t>E. 3</w:t>
      </w:r>
    </w:p>
    <w:p>
      <w:r>
        <w:t>Die Kognition des Bundesverwaltungsgerichts und die zulässigen Rügen richten sich im Asylbereich nach Art. 106 Abs. 1 AsylG, im Bereich des Aus- länderrechts nach Art. 49 VwVG (vgl. BVGE 2014/26 E. 5).</w:t>
      </w:r>
    </w:p>
    <w:p>
      <w:r>
        <w:rPr>
          <w:b/>
        </w:rPr>
        <w:t>E. 4.1</w:t>
      </w:r>
    </w:p>
    <w:p>
      <w:r>
        <w:t>Über offensichtlich unbegründete Beschwerden wird in einzelrichterli- cher Zuständigkeit mit Zustimmung eines zweiten Richters beziehungs- weise einer zweiten Richterin entschieden (Art. 111 Bst. e AsylG). Wie nachstehend aufgezeigt wird, handelt es sich um ein solches Rechtsmittel, weshalb das Urteil nur summarisch zu begründen ist (Art. 111a Abs. 2 AsylG).</w:t>
      </w:r>
    </w:p>
    <w:p>
      <w:r>
        <w:rPr>
          <w:b/>
        </w:rPr>
        <w:t>E. 4.2</w:t>
      </w:r>
    </w:p>
    <w:p>
      <w:r>
        <w:t>Gestützt auf Art. 111a Abs. 1 AsylG wurde auf die Durchführung eines Schriftenwechsels verzichtet.</w:t>
      </w:r>
    </w:p>
    <w:p>
      <w:r>
        <w:rPr>
          <w:b/>
        </w:rPr>
        <w:t>E. 5.1</w:t>
      </w:r>
    </w:p>
    <w:p>
      <w:r>
        <w:t>Gemäss Art. 2 Abs. 1 AsylG gewährt die Schweiz Flüchtlingen grund- sätzlich Asyl. Flüchtlinge sind Personen, die in ihrem Heimatstaat oder im</w:t>
      </w:r>
    </w:p>
    <w:p>
      <w:r>
        <w:t>D-9662/2025 Seite 5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(Art. 7 AsylG).</w:t>
      </w:r>
    </w:p>
    <w:p>
      <w:r>
        <w:rPr>
          <w:b/>
        </w:rPr>
        <w:t>E. 6.1</w:t>
      </w:r>
    </w:p>
    <w:p>
      <w:r>
        <w:t>Das SEM führte zur Begründung seines Entscheids aus, Verfolgung durch Dritte sei nur dann asylrelevant, wenn der Herkunftsstaat keinen an- gemessenen Schutz gewähre. Die türkischen Behörden seien jedoch fähig und bereit, Frauen vor Angriffen durch private Dritte – insbesondere im fa- miliären Kontext – zu schützen. Zudem hätten Betroffene effektiven Zu- gang zur vorhandenen Schutzinfrastruktur (Verweis auf die einschlägige Rechtsprechung des BVGers). Bedrohte Frauen seien daher innerfamiliä- ren Übergriffen nicht schutzlos ausgeliefert. Die Beschwerdeführerin 1 habe den grössten Teil ihres Lebens in Istanbul verbracht. Sie könne sich bei Bedarf an ein Frauenhaus oder an ein Familiengericht wenden. In der Türkei habe sie bisher offenbar noch nie um polizeilichen Schutz ersucht. Es sei ihr jedoch zuzumuten, dort entsprechende Schritte einzuleiten, zu- mal die türkischen Behörden offensichtlich im Zusammenhang mit der Ver- gewaltigung der Beschwerdeführerin 3 pflichtgemäss tätig geworden seien. Da sie bisher nicht alles Mögliche und Zumutbare unternommen habe, um im Heimatland Schutz zu erhalten, seien die Vorbringen nicht asylrelevant.</w:t>
      </w:r>
    </w:p>
    <w:p>
      <w:r>
        <w:rPr>
          <w:b/>
        </w:rPr>
        <w:t>E. 6.2</w:t>
      </w:r>
    </w:p>
    <w:p>
      <w:r>
        <w:t>In der Beschwerde wird entgegnet, in der Türkei könnten die Beschwer- deführenden keinen tatsächlichen und zureichenden Schutz erwarten. Der Neffe des Ehemannes/Vaters, welcher die Beschwerdeführerin 3 sexuell missbraucht habe, sei zwar verurteilt worden, befinde sich aber faktisch in Freiheit. Nach der Strafanzeige gegen ihn sei die Beschwerdeführerin 1 zudem massiv bedroht worden. Von den Behörden habe sie keinen Schutz erhalten. Trotz Frauenhäusern und Schutzgesetzen würden in der Türkei nach wie vor zahlreiche Frauen Opfer von tödlicher Gewalt. Die Beschwer-</w:t>
      </w:r>
    </w:p>
    <w:p>
      <w:r>
        <w:t>D-9662/2025 Seite 6 deführerin 1 habe weitere schwere Übergriffe verhindern wollen und sich deswegen nicht an die Behörden gewandt oder ein Frauenhaus aufge- sucht; dieses Verhalten könne ihr nicht vorgeworfen werden.</w:t>
      </w:r>
    </w:p>
    <w:p>
      <w:r>
        <w:rPr>
          <w:b/>
        </w:rPr>
        <w:t>E. 6.3</w:t>
      </w:r>
    </w:p>
    <w:p>
      <w:r>
        <w:t>Das Bundesverwaltungsgericht bejaht in gefestigter Praxis die grund- sätzliche Schutzbereitschaft und Schutzfähigkeit des türkischen Staates im Umgang mit Opfern häuslicher Gewalt und geht davon aus, dass insbe- sondere in den städtischen Gebieten die Schutzinfrastruktur als hinrei- chend zu erachten ist. Hinsichtlich des sexuellen Übergriffs durch einen Cousin auf die Beschwerdeführerin 3 sind die türkischen Behörden offen- sichtlich tätig geworden, und der Täter wurde erstinstanzlich verurteilt. Dies spricht ebenfalls für eine funktionierende Schutzinfrastruktur. Die Be- schwerdeführerin 1 hat die Übergriffe und Drohungen ihres Ehemannes in der Türkei bisher nicht angezeigt und im Heimatland auch nicht anderweitig um Schutz nachgesucht (beispielsweise in einem Frauenhaus). Es ist ihr indes entgegen den Ausführungen in der Beschwerde durchaus zuzumu- ten, bei einer Rückkehr in die Türkei gegebenenfalls die dort vorhandenen Opferschutzangebote in Anspruch zu nehmen und rechtlich gegen allfällige weitere Behelligungen durch den Ehemann vorzugehen. Die geltend ge- machte Furcht vor einer Verfolgung durch den Ehemann/Kindsvater ist da- her nicht asylrelevant.</w:t>
      </w:r>
    </w:p>
    <w:p>
      <w:r>
        <w:rPr>
          <w:b/>
        </w:rPr>
        <w:t>E. 6.4</w:t>
      </w:r>
    </w:p>
    <w:p>
      <w:r>
        <w:t>Nach dem Gesagten hat das SEM die Flüchtlingseigenschaft der Be- schwerdeführenden zu Recht verneint und das Mehrfachgesuch abge- 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w:t>
      </w:r>
    </w:p>
    <w:p>
      <w:r>
        <w:t>D-9662/2025 Seite 7 gesetzlichen Bestimmungen über die vorläufige Aufnahme (Art. 44 AsylG; Art. 83 Abs. 1 AIG [SR 142.20]). In Bezug auf die Geltendmachung von Wegweisungsvollzugshindernissen gilt gemäss ständiger Praxis des Bundesverwaltungsgerichts der gleiche Beweisstandard wie bei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w:t>
      </w:r>
    </w:p>
    <w:p>
      <w:r>
        <w:rPr>
          <w:b/>
        </w:rPr>
        <w:t>E. 8.2.1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8.2.2</w:t>
      </w:r>
    </w:p>
    <w:p>
      <w:r>
        <w:t>Da es den Beschwerdeführenden nicht gelungen ist, eine flüchtlings- rechtlich erhebliche Gefährdung nachzuweisen oder glaubhaft zu machen, findet der in Art. 5 AsylG verankerte Grundsatz der Nichtrückschiebung im vorliegenden Verfahren keine Anwendung. Eine Rückkehr in den Heimat- staat ist demnach unter dem Aspekt von Art. 5 AsylG rechtmässig. Sodann ergeben sich weder aus den Aussagen der Beschwerdeführenden noch aus den Akten Anhaltspunkte dafür, dass sie für den Fall einer Ausschaf- fung in den Heimatstaat dort mit beachtlicher Wahrscheinlichkeit – im Sinne eines «real risk» (vgl. dazu das Urteil des EGMR EGMR Saadi ge- gen Italien vom 28. Februar 2008, Grosse Kammer 37201/06, §§ 124–127 m.w.H.) – einer nach Art. 3 EMRK oder Art. 1 FK verbotenen Strafe oder Behandlung ausgesetzt wären. Auch wenn sich die allgemeine Menschen- rechtssituation in der Türkei in den letzten Jahren (namentlich seit dem Putschversuch im Jahr 2016) verschlechtert hat, lässt sie den Wegwei-</w:t>
      </w:r>
    </w:p>
    <w:p>
      <w:r>
        <w:t>D-9662/2025 Seite 8 sungsvollzug im heutigen Zeitpunkt ebenfalls nicht als unzulässig erschei- nen.</w:t>
      </w:r>
    </w:p>
    <w:p>
      <w:r>
        <w:rPr>
          <w:b/>
        </w:rPr>
        <w:t>E. 8.2.3</w:t>
      </w:r>
    </w:p>
    <w:p>
      <w:r>
        <w:t>Demnach ist der Vollzug der Wegweisung sowohl im Sinne der asyl- als auch der völkerrechtlichen Bestimmungen zulässig.</w:t>
      </w:r>
    </w:p>
    <w:p>
      <w:r>
        <w:rPr>
          <w:b/>
        </w:rPr>
        <w:t>E. 8.3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8.3.1</w:t>
      </w:r>
    </w:p>
    <w:p>
      <w:r>
        <w:t>In der Türkei herrscht keine Situation allgemeiner Gewalt (vgl. Refe- renzurteil des BVGer E-4103/2024 vom 8. November 2024 E. 13.2; Urteil des BVGer D-3131/2021 vom 29. Januar 2025 E. 9.4.2).</w:t>
      </w:r>
    </w:p>
    <w:p>
      <w:r>
        <w:rPr>
          <w:b/>
        </w:rPr>
        <w:t>E. 8.3.2</w:t>
      </w:r>
    </w:p>
    <w:p>
      <w:r>
        <w:t>Es sind auch keine individuellen Gründe ersichtlich, welche einem Vollzug der Wegweisung entgegenstehen könnten. Wie bereits das SEM zutreffend festgestellt hat, verfügen die Beschwerdeführenden in der Tür- kei über zahlreiche Verwandte, welche sie bei Bedarf unterstützen könn- ten, so namentlich die Mutter und Geschwister der Beschwerdeführerin 1 in D._______ (Bezirk E._______, Provinz F._______) sowie mehrere On- kel der Beschwerdeführerin 1 in G._______ (vgl. dazu Vorhaben […], A44 F20 ff.). Zudem kann die Beschwerdeführerin 1 Arbeitserfahrung in ver- schiedenen Bereichen vorweisen; zuletzt hat sie (bis im August 2022) sie- ben Jahre als (…) gearbeitet (A44 F15 ff.). Die Wiederaufnahme einer Er- werbstätigkeit ist ihr daher grundsätzlich ohne weiteres zuzumuten. Soweit in der Beschwerde auf den angeschlagenen Gesundheitszustand der Be- schwerdeführenden verwiesen wird, ist Folgendes festzustellen: Hinsicht- lich der bereits damals bei den Beschwerdeführerinnen bestehenden psy- chischen Probleme ([…] [Beschwerdeführerin 3], psychisch labiler Zustand mit temporären suizidalen Äusserungen (Beschwerdeführerin 1), wurde im ordentlichen Asylverfahren erwogen, die psychiatrische Gesundheitsver- sorgung sei in der Türkei grundsätzlich gewährleistet, die Beschwerdefüh- renden könnten sich somit auch in der Türkei (weiter-)behandeln lassen. Im Übrigen sei die Beschwerdeführerin 3 schon in der Türkei in regelmäs- siger psychologischer Behandlung bei einem Kinderspezialisten gewesen. Sie könne somit in ein bestehendes psychologisches Setting zurückkehren (vgl. dazu namentlich das Beschwerdeurteil D-114/2024 vom 24. Septem- ber 2024 E. 8.3). Die im vorinstanzlichen Mehrfachverfahren eingereichten</w:t>
      </w:r>
    </w:p>
    <w:p>
      <w:r>
        <w:t>D-9662/2025 Seite 9 Arztberichte betreffend die Beschwerdeführerinnen, in welchen über den Verlauf ihrer jeweiligen Behandlungen berichtet und der Beschwerdeführe- rin 1 eine (…) attestiert wird, vermögen an dieser Einschätzung nichts zu ändern, ebenso wenig die Tatsache, dass beim Beschwerdeführer den ak- tenkundigen Arztberichten zufolge im Juni respektive August 2025 (…) di- agnostiziert wurden; diese Erkrankungen können in der Türkei ebenfalls adäquat behandelt werden. Nach dem Gesagten ist nicht davon auszuge- hen, dass die Beschwerdeführenden bei einer Rückkehr in die Türkei aus wirtschaftlichen, sozialen oder medizinischen Gründen in eine existenzielle Notlage geraten würden. Sodann steht auch das Kindeswohl (Art. 3 Abs. 1 des Übereinkommens vom 20. November 1989 über die Rechte des Kin- des [KRK, SR 0.107]; vgl. BVGE 2009/51 E. 5.6) einer Rückkehr der Be- schwerdeführenden in die Türkei nicht entgegen, zumal die heute (…)- und (…)-jährigen Kinder sich erst seit zwei Jahren in der Schweiz befinden, ihre Sozialisation damit überwiegend in der Türkei stattgefunden hat, keine kon- kreten Anhaltspunkte dafür bestehen, dass bereits eine eigentliche Verwur- zelung in der Schweiz stattgefunden hat und damit auch nicht von einer Entwurzelung der Kinder im Falle einer Rückkehr ins Heimatland auszuge- hen ist. Zudem könnten sie zusammen mit ihrer primären Bezugsperson, der Beschwerdeführerin 1, in die Türkei zurückkehren und ihre schulische Ausbildung in gewohnter Umgebung sowie in ihrer Muttersprache fortset- zen. Ihre Reintegrationschancen sind daher als gut zu bezeichnen.</w:t>
      </w:r>
    </w:p>
    <w:p>
      <w:r>
        <w:rPr>
          <w:b/>
        </w:rPr>
        <w:t>E. 8.3.3</w:t>
      </w:r>
    </w:p>
    <w:p>
      <w:r>
        <w:t>Nach dem Gesagten erweist sich der Vollzug der Wegweisung auch als zumutbar.</w:t>
      </w:r>
    </w:p>
    <w:p>
      <w:r>
        <w:rPr>
          <w:b/>
        </w:rPr>
        <w:t>E. 8.4</w:t>
      </w:r>
    </w:p>
    <w:p>
      <w:r>
        <w:t>Schliesslich obliegt es den Beschwerdeführenden, sich bei der zustän- digen Vertretung des Heimatstaates die für eine Rückkehr notwendigen Reisedokumente zu beschaffen (vgl. Art. 47 Abs. 1 AsylG und dazu auch BVGE 2008/34 E. 12), weshalb der Vollzug der Wegweisung auch als mög- lich zu bezeichnen ist (Art. 83 Abs. 2 AIG).</w:t>
      </w:r>
    </w:p>
    <w:p>
      <w:r>
        <w:rPr>
          <w:b/>
        </w:rPr>
        <w:t>E. 8.5</w:t>
      </w:r>
    </w:p>
    <w:p>
      <w:r>
        <w:t>Zusammenfassend ist festzustellen, dass die Vorinstanz den Wegwei- 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und auch sonst nicht zu beanstanden ist</w:t>
      </w:r>
    </w:p>
    <w:p>
      <w:r>
        <w:t>D-9662/2025 Seite 10 (Art. 106 Abs. 1 AsylG). Die Beschwerde ist demnach abzuweisen, soweit darauf einzutreten ist.</w:t>
      </w:r>
    </w:p>
    <w:p>
      <w:r>
        <w:rPr>
          <w:b/>
        </w:rPr>
        <w:t>E. 10</w:t>
      </w:r>
    </w:p>
    <w:p>
      <w:r>
        <w:t>Bei diesem Ausgang des Verfahrens sind dessen Kosten den Beschwerde- führenden aufzuerlegen (Art. 63 Abs. 1 VwVG) und auf insgesamt Fr. 2'000.– festzusetzen (Art. 1–3 des Reglements vom 21. Februar 2008 über die Kosten und Entschädigungen vor dem Bundesverwaltungsgericht [VGKE, SR 173.320.2]). Dieser Betrag ist durch den am 29. Dezember 2025 in gleicher Höhe geleisteten Kostenvorschuss gedeckt.</w:t>
      </w:r>
    </w:p>
    <w:p>
      <w:r>
        <w:t>(Dispositiv nächste Seite)</w:t>
      </w:r>
    </w:p>
    <w:p>
      <w:r>
        <w:t>D-9662/2025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