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D-9650/2025 vom 17. Februar 2026</w:t>
      </w:r>
    </w:p>
    <w:p>
      <w:r>
        <w:t>Bundesverwaltungsgericht, 2026-02-17, DE</w:t>
      </w:r>
    </w:p>
    <w:p>
      <w:r>
        <w:rPr>
          <w:b/>
        </w:rPr>
        <w:t xml:space="preserve">Quelle: </w:t>
      </w:r>
      <w:r>
        <w:t>https://mcp.opencaselaw.ch/entscheid/bvger_D-9650_2025</w:t>
      </w:r>
    </w:p>
    <w:p>
      <w:r>
        <w:t>FR: TAF D-9650/2025 du 17 février 2026</w:t>
      </w:r>
    </w:p>
    <w:p>
      <w:r>
        <w:t>IT: TAF D-9650/2025 del 17 febbraio 2026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Beschwerdeführenden sind als Verfügungsadressaten zur Beschwerdeführung legitimiert (Art. 48 Abs. 1 VwVG). Auf die frist- und formgerecht eingereichte Beschwerde (Art. 108 Abs. 2 AsylG und Art. 52 Abs. 1 VwVG) ist nach fristgerechter Leistung des Kostenvorschusses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der Beschwerdeentscheid nur summarisch zu begründen ist (Art. 111a Abs. 2). Auf die Durchführung eines Schriftenwechsels wurde gestützt auf Art. 111a Abs. 1 AsylG verzichtet.</w:t>
      </w:r>
    </w:p>
    <w:p>
      <w:r>
        <w:rPr>
          <w:b/>
        </w:rPr>
        <w:t>E. 4.1.1</w:t>
      </w:r>
    </w:p>
    <w:p>
      <w:r>
        <w:t>Die Vorinstanz gelangt in ihrer angefochtenen Verfügung zum Schluss, die Vorbringen der Beschwerdeführenden hielten den Anforderungen an die Flüchtlingseigenschaft gemäss Art. 3 AsylG nicht stand.</w:t>
      </w:r>
    </w:p>
    <w:p>
      <w:r>
        <w:rPr>
          <w:b/>
        </w:rPr>
        <w:t>E. 4.1.2</w:t>
      </w:r>
    </w:p>
    <w:p>
      <w:r>
        <w:t>Vorab hält sie fest, es läge ausserhalb der Möglichkeiten eines Staates, jeden denkbaren Übergriff präventiv zu verhindern, wobei daraus jedoch nicht geschlossen werden könne, dass das Ersuchen um staatlichen Schutz von vornherein ein nutzloses Unterfangen sei, beziehungsweise dass der türkische Staat seiner Schutzpflicht nicht nachkomme. Die Ausführungen der Beschwerdeführerin auf die Frage, was sie angesichts der Gewalt ihres Ehemannes unternommen habe, könnten nicht ausreichend erklären, weshalb sie angesichts der geltend gemachten anhaltenden Drohungen seitens ihres Ehemannes nicht zumindest nochmals versucht habe, Hilfe seitens der heimatlichen Behörden zu erhalten. Dies, obwohl es ihr durchaus zumutbar und möglich gewesen wäre, sich an verschiedene Stellen in ihrer Heimat zu wenden beziehungsweise im Fall weiterer Drohungen ihre Anliegen erneut vorzutragen, oder aber ihren Wohnsitz in eine andere Region der Türkei (beispielsweise nach Istanbul, wo die Schutzinfrastruktur besser ausgebaut und der Schutzwille in Angelegenheiten wie der von der Beschwerdeführerin vorgetragenen in aller Regel als gegeben zu erachten sei) zu verlegen. Ausserdem hätte sie ihren Forderungen beispielsweise durch die Mandatierung eines Anwalts zusätzlichen Nachdruck verleihen können.</w:t>
      </w:r>
    </w:p>
    <w:p>
      <w:r>
        <w:rPr>
          <w:b/>
        </w:rPr>
        <w:t>E. 4.1.3</w:t>
      </w:r>
    </w:p>
    <w:p>
      <w:r>
        <w:t>Sodann weist das SEM darauf hin, aus den eingereichten Beweismitteln sei ersichtlich, dass die türkischen Behörden im Fall der Beschwerdeführerin (welche im Übrigen weder politisch in Erscheinung getreten sei noch jemals Probleme mit den Behörden gehabt habe) sehr wohl wiederholt aktiv geworden seien, wobei gerade vor dem Hintergrund, dass ihrem Ehemann im Zusammenhang mit seiner Tätigkeit eine Freiheitsstrafe und ein Tätigkeitsverbot auferlegt worden sei, nicht davon auszugehen sei, dass dieser in der Türkei Straffreiheit geniesse und in der Lage wäre, in Bezug auf die Übergriffe auf seine Ehefrau die türkischen Behörden zu seinen Gunsten zu beeinflussen. Nach dem Gesagten sei davon auszugehen, dass die Beschwerdeführerin nicht alles ihr Mögliche unternommen habe, um in ihrer Heimat weiterhin beziehungsweise erneut Schutz zu erhalten, an welcher Einschätzung auch die eingereichten Unterlagen und Berichte betreffend Femizide und häusliche Gewalt nichts zu ändern vermöchten.</w:t>
      </w:r>
    </w:p>
    <w:p>
      <w:r>
        <w:rPr>
          <w:b/>
        </w:rPr>
        <w:t>E. 4.1.4</w:t>
      </w:r>
    </w:p>
    <w:p>
      <w:r>
        <w:t>Schliesslich liege kein direkter Zusammenhang zwischen der Schiesserei und dem Tod zweier Geschwister der Beschwerdeführerin im Jahr 1999 sowie der Ausreise der Beschwerdeführenden im August 2025 vor.</w:t>
      </w:r>
    </w:p>
    <w:p>
      <w:r>
        <w:rPr>
          <w:b/>
        </w:rPr>
        <w:t>E. 4.2</w:t>
      </w:r>
    </w:p>
    <w:p>
      <w:r>
        <w:t>In der Beschwerdeschrift wird der in der Anhörung vorgebrachte Sachverhalt wiederholt sowie auf die im vorinstanzlichen Verfahren eingereichten Unterlagen verwiesen. Sodann wird geltend gemacht, die Vorinstanz verkenne das allgemeine strukturelle Versagen des türkischen Staates bei häuslicher Gewalt insbesondere seit dem Austritt der Türkei aus der Istanbul-Konvention. Trotz allfälliger abstrakter Schutzwilligkeit der türkischen Behörden fehle im Fall der Beschwerdeführerin die Schutzfähigkeit, was sich schon dadurch zeige, dass ihr Ehemann sie trotz mehrfacher innerstaatlicher Fluchtversuche habe aufspüren können. Schliesslich wird gerügt, das SEM habe sich mit abstrakten und pauschalen Länderinformationen ohne Aussagekraft für die individuelle Risikosituation für die Beschwerdeführerin begnügt und somit keine Einzelfallprüfung vorgenommen. Des Weiteren habe es die gesundheitlichen Aspekte vernachlässigt und die Rückkehrsituation der Beschwerdeführenden unzureichend gewürdigt. Mit seiner «oberflächlichen, generalisierenden Beurteilung» sei es seiner Begründungspflicht nicht nachgekommen und habe ihren Anspruch auf rechtliches Gehör verletzt.</w:t>
      </w:r>
    </w:p>
    <w:p>
      <w:r>
        <w:rPr>
          <w:b/>
        </w:rPr>
        <w:t>E. 5.1</w:t>
      </w:r>
    </w:p>
    <w:p>
      <w:r>
        <w:t>Soweit in der Beschwerde formelle Rügen erhoben werden, sind diese vorab zu prüfen, da sie allenfalls geeignet wären, eine Kassation der vorin-stanzlichen Verfügung zu bewirken.</w:t>
      </w:r>
    </w:p>
    <w:p>
      <w:r>
        <w:rPr>
          <w:b/>
        </w:rPr>
        <w:t>E. 5.2</w:t>
      </w:r>
    </w:p>
    <w:p>
      <w:r>
        <w:t>Entgegen der Auffassung der Beschwerdeführenden ergeben sich aus den Akten keinerlei Hinweise, dass das SEM durch eine unzureichend individualisierte Prüfung der Vorbringen seine Untersuchungs- und insbesondere seine Begründungspflicht beziehungsweise den Anspruch der Beschwerdeführenden auf rechtliches Gehör verletzt haben könnte. Die Vorinstanz hat sich in ihrer angefochtenen Verfügung mit sämtlichen wesentlichen Vorbringen der Beschwerdeführenden (und auch mit der gesundheitlichen Situation der Beschwerdeführerin) sowie auch mit den eingereichten Beweismitteln auseinandergesetzt und in nachvollziehbarer und differenzierter Art und Weise aufgezeigt, von welchen Überlegungen sie sich leiten liess. Eine sachgerechte Anfechtung war dadurch ohne Weiteres möglich. Allein der Umstand, dass die Beschwerdeführenden die vom SEM gezogenen Schlüsse nicht teilen, lässt nicht auf eine Verletzung der Begründungspflicht beziehungsweise des Anspruchs auf rechtliches Gehör schliessen. Vielmehr handelt es sich dabei um eine materielle Frage, welche nachfolgend zu prüfen ist.</w:t>
      </w:r>
    </w:p>
    <w:p>
      <w:r>
        <w:rPr>
          <w:b/>
        </w:rPr>
        <w:t>E. 5.3</w:t>
      </w:r>
    </w:p>
    <w:p>
      <w:r>
        <w:t>Die formellen Rügen erweisen sich angesichts dieser Sachlage als unbegründet, weshalb keine Veranlassung besteht, die angefochtene Verfügung aufzuheben. Der Subeventualantrag auf Rückweisung der Sache zur «rechtsgenüglichen Sachverhaltsabklärung» und zur neuen Entscheidung an die Vorinstanz (Rechtsbegehren Ziff. 4)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(Art. 7 Abs. 1 AsylG). Das Bundesverwaltungsgericht hat die Anforderungen an das Glaubhaftmachen der Vorbringen in verschiedenen Entscheiden dargelegt und folgt dabei ständiger Praxis. Darauf kann hier verwiesen werden (vgl. BVGE 2015/3 E. 6.5.1; 2012/5 E. 2.2).</w:t>
      </w:r>
    </w:p>
    <w:p>
      <w:r>
        <w:rPr>
          <w:b/>
        </w:rPr>
        <w:t>E. 7.1</w:t>
      </w:r>
    </w:p>
    <w:p>
      <w:r>
        <w:t>Das Bundesverwaltungsgericht kommt nach Durchsicht der Akten zum Schluss, dass das SEM in seiner Verfügung zu Recht zur Erkenntnis gelangt ist, die Beschwerdeführenden erfüllten die Flüchtlingseigenschaft nicht. Zur Vermeidung von Wiederholungen kann im Wesentlichen auf die Erwägungen der Vorinstanz verwiesen werden (vgl. Zusammenfassung der entsprechenden Erwägungen in E. 4.1 des vorliegenden Urteils), da es den Beschwerdeführenden nicht gelingt, diesen etwas Stichhaltiges entgegenzusetzen. Zudem führen auch die auf Beschwerdeebene neu vorgebrachten Umstände und Beweismittel nicht zu einem anderen Ergebnis.</w:t>
      </w:r>
    </w:p>
    <w:p>
      <w:r>
        <w:rPr>
          <w:b/>
        </w:rPr>
        <w:t>E. 7.2.1</w:t>
      </w:r>
    </w:p>
    <w:p>
      <w:r>
        <w:t>So kann sich das Bundesverwaltungsgericht sowohl den Ausführungen des SEM betreffend Schutzwilligkeit und Schutzfähigkeit der türkischen Behörden bei häuslicher Gewalt (vgl. dazu statt vieler Urteil des BVGer E-1294/2023 vom 5. November 2025 E. 6.1.3.2 ff.) als auch denjenigen betreffend des fehlenden direkten Zusammenhangs zwischen den Ereignissen im Jahr 1999 und der Ausreise der Beschwerdeführenden im Jahr 2025 anschliessen. Das Gericht kann dabei auch der Auffassung der Vorinstanz folgen, die Beschwerdeführerin habe nicht alles ihr Mögliche und Zumutbare unternommen, um in ihrer Heimat weiterhin beziehungsweise erneut Schutz zu erhalten.</w:t>
      </w:r>
    </w:p>
    <w:p>
      <w:r>
        <w:rPr>
          <w:b/>
        </w:rPr>
        <w:t>E. 7.2.2</w:t>
      </w:r>
    </w:p>
    <w:p>
      <w:r>
        <w:t>Soweit in der Beschwerdeschrift geltend gemacht wird, es sei niemand ausgerückt, als die Beschwerdeführerin - von ihrem Ehemann mit einem Messer bedroht - den Notruf der Notfall-App «KADES» betätigt habe (vgl. Beschwerde S. 7 unten), ist festzuhalten, dass die Beschwerdeführerin anlässlich der Anhörung zwar vorgebracht hatte, die Polizei angerufen zu haben (vgl. SEM-Akten [...] zu F91), hingegen im vorinstanzlichen Verfahren nie angegeben hatte, die für gefährdete Frauen entwickelte Notfall-App «KADES» installiert und betätigt zu haben. Was die Behauptung, Frauenhäuser nähmen keine Kinder auf, betrifft, ist festzuhalten, dass zwar in der Tat die meisten (staatlichen) Frauenhäuser nur Jungen bis zum Alter von 12 Jahren gemeinsam mit ihren Müttern aufnehmen, und ältere Jungen getrennt unterbringen («Türkei: Gewalt gegen Frauen», Themenpapier der Länderanalyse der Schweizerischen Flüchtlingshilfe [SFH] vom 22. Juni 2021, S. 19), der Sohn B._______ zum Zeitpunkt seiner Ausreise indes noch nicht einmal (...) Jahre alt war. In Bezug auf die am 7. Januar 2026 nachgereichten Screenshots zweier per «WhatsApp» übermittelter Nachrichten, welche belegen sollen, dass der Ehemann der Beschwerdeführer den Aufenthaltsort der Beschwerdeführenden kennt, ist schliesslich festzuhalten, dass sich aus diesen Mitteilungen weder der Sendungszeitpunkt noch die Urheberschaft erkennen lassen und die Telefonnummer überdies auch nicht mit derjenigen der im vorinstanzlichen Verfahren eingereichten Screenshots von Nachrichten des Ehemannes übereinstimmt.</w:t>
      </w:r>
    </w:p>
    <w:p>
      <w:r>
        <w:rPr>
          <w:b/>
        </w:rPr>
        <w:t>E. 7.3</w:t>
      </w:r>
    </w:p>
    <w:p>
      <w:r>
        <w:t>Zusammenfassend ergibt sich, dass das SEM zu Recht die Flüchtlingseigenschaft der Beschwerdeführenden verneint und deren Asylgesuche abgelehnt hat.</w:t>
      </w:r>
    </w:p>
    <w:p>
      <w:r>
        <w:rPr>
          <w:b/>
        </w:rPr>
        <w:t>E. 8</w:t>
      </w:r>
    </w:p>
    <w:p>
      <w:r>
        <w:t>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weist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9.2.3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(vgl. auch Urteil des EGMR Saadi gegen Italien vom 28. Februar 2008, Grosse Kammer 37201/06, §§ 124-127 m.w.H.). Die allgemeinen Ausführungen zu systemischen Mängeln des türkischen Justizvollzugs (vgl. Beschwerde S. 11) vermögen daran nichts zu ändern, und auch die allgemeine Menschenrechtssituation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türkisch-kurdischen Konfliktes sowie der bewaffneten Auseinandersetzungen zwischen der PKK und staatlichen Sicherheitskräften seit Juli 2015 und der Entwicklungen nach dem Militärputschversuch im Juli 2016 ist gemäss konstanter gerichtlicher Praxis weder von einer Situation allgemeiner Gewalt oder bürgerkriegsähnlichen Verhältnissen in der gesamten Türkei auszugehen noch vermögen die Erdbeben vom Februar 2023 ein grundsätzliches Wegweisungsvollzugshindernis zu begründen (vgl. etwa Referenzurteile E-4104/2024 vom 8. November 2024 E. 13.2 und E-1308/2023 vom 19. März 2024 E. 10 ff.).</w:t>
      </w:r>
    </w:p>
    <w:p>
      <w:r>
        <w:rPr>
          <w:b/>
        </w:rPr>
        <w:t>E. 9.3.3</w:t>
      </w:r>
    </w:p>
    <w:p>
      <w:r>
        <w:t>Sodann bestehen auch keine Anhaltspunkte, dass der Vollzug der Wegweisung aus individuellen Gründen nicht zumutbar sein könnte. Die Beschwerdeführenden haben zwar bis Mai 2025 in der von den schweren Erdbeben Anfang Februar 2023 betroffenen Provinz F._______ gewohnt, indes keine mit der Naturkatastrophe in Zusammenhang stehende Nachteile geltend gemacht. Entgegen der in der Beschwerdeschrift (vgl. S. 18 f.) vertretenen Auffassung erscheint die berufliche Wiedereingliederung der Beschwerdeführerin in der Heimat ohne Weiteres möglich, zumal sie nicht nur über sehr gute Ausbildungen (Fernstudien als [...] sowie [...]), sondern auch über Berufserfahrung verfügt. Auch leben verschiedene Verwandte nach wie vor in der Türkei, wobei die Beschwerdeführerin - wie in der angefochtenen Verfügung zutreffend bemerkt wurde - gemäss ihren Angaben bereits in der Vergangenheit auch von Verwandten ihres Ehemannes unterstützt wurde. Es sprechen auch keine gesundheitlichen Gründe gegen die Zumutbarkeit des Wegweisungsvollzugs der Beschwerdeführenden. Die Behandlung der von ihnen geltend gemachten - und in der angefochtenen Verfügung aufgeführten - Probleme kann ohne Weiteres auch in der Türkei fortgesetzt werden, zumal das türkische Gesundheitswesen einen guten Standard aufweist und die (...) der Beschwerdeführerin dort schon seit 2014 medikamentös behandelt wurden. Auf Beschwerdeebene wurden auch keine Unterlagen zu den Akten gegeben, welche eine massgebliche Verschlechterung der gesundheitlichen Situation der Beschwerdeführenden belegen würde. Ferner steht auch das Kindeswohl dem Wegweisungsvollzug nicht entgegen. Art. 3 des Übereinkommens über die Rechte der Kinder (Kinderrechtskonvention, KRK; SR 0.107) verschafft per se keinen Anspruch auf eine Aufenthaltserlaubnis oder auf eine vorläufige Aufnahme (vgl. BVGE 2009/51 E. 5.6; Urteil des BVGer E-1954/2025 vom 28. April 2025 E. 8.7.4), und nach einem halbjährigen Aufenthalt in der Schweiz ist auch nicht von einer besonderen Integration des (...)jährigen B._______ in der Schweiz auszugehen. Ausserdem kann er gemeinsam mit seiner Mutter, seiner wichtigsten Bezugsperson, in die Türkei zurückkehren, wo sich auch seine beiden volljährigen Geschwister befinden.</w:t>
      </w:r>
    </w:p>
    <w:p>
      <w:r>
        <w:rPr>
          <w:b/>
        </w:rPr>
        <w:t>E. 9.4</w:t>
      </w:r>
    </w:p>
    <w:p>
      <w:r>
        <w:t>Schliesslich obliegt es den Beschwerdeführenden,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auch sonst nicht zu beanstanden ist. Die Beschwerde ist abzuweisen, soweit darauf einzutreten ist.</w:t>
      </w:r>
    </w:p>
    <w:p>
      <w:r>
        <w:rPr>
          <w:b/>
        </w:rPr>
        <w:t>E. 11</w:t>
      </w:r>
    </w:p>
    <w:p>
      <w:r>
        <w:t>Bei diesem Ausgang des Verfahrens sind die Kosten von Fr. 1'000.-(Art. 1-3 des Reglements vom 21. Februar 2008 über die Kosten und Entschädigungen vor dem Bundesverwaltungsgericht [VGKE, SR 173.320.2]) den Beschwerdeführenden aufzuerlegen (Art. 63 Abs. 1 und 5 VwVG), wobei der am 30. Dezember 2025 in gleicher Höhe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