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D-95/2025 vom 27. Dezember 2024</w:t>
      </w:r>
    </w:p>
    <w:p>
      <w:r>
        <w:t>Bundesverwaltungsgericht, 2024-12-27, DE</w:t>
      </w:r>
    </w:p>
    <w:p>
      <w:r>
        <w:rPr>
          <w:b/>
        </w:rPr>
        <w:t xml:space="preserve">Quelle: </w:t>
      </w:r>
      <w:r>
        <w:t>https://mcp.opencaselaw.ch/entscheid/bvger_D-95_2025_d20241227</w:t>
      </w:r>
    </w:p>
    <w:p>
      <w:r>
        <w:t>FR: TAF D-95/2025 du 27 décembre 2024</w:t>
      </w:r>
    </w:p>
    <w:p>
      <w:r>
        <w:t>IT: TAF D-95/2025 del 27 dicembre 2024</w:t>
      </w:r>
    </w:p>
    <w:p>
      <w:pPr>
        <w:pStyle w:val="Heading2"/>
      </w:pPr>
      <w:r>
        <w:t>Regeste</w:t>
      </w:r>
    </w:p>
    <w:p>
      <w:r>
        <w:t>Asyl und Wegweisung (beschleunigtes Verfahren) | Asyl und Wegweisung (beschleunigtes Verfahren); Verfügung des SEM vom 27.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1 AsylG; Art. 48 Abs. 1 sowie Art. 52 Abs. 1 VwVG). Schliesslich wurde der Kostenvorschuss fristgerecht bezahlt.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D-95/2025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vom Beschwerdeführer vorgebrachten persönlich erlebten Verhaf- tungen und Misshandlungen durch den türkischen Staat in den Jahren 1993 bis 2000 sind mangels Aktualität als nicht kausal für die Ausreise zu erachten (zum Erfordernis der Kausalität vgl. WALTER STÖCKLI, in: Auslän- derrecht – Eine umfassende Darstellung der Rechtsstellung von Auslände- rinnen und Ausländer in der Schweiz, 3. Aufl. 2022, N 14.38). Demgegen- über fehlt es an konkreten Hinweisen, dass die Beschwerdeführer auch aktuell einer Verfolgung von asylrelevanter Intensität ausgesetzt sein könn- ten. Der Umstand, dass nicht alle Dokumente betreffend die frühere Ver- folgung ins Deutsche übersetzt wurden, ändern an dieser Feststellung nichts, zumal die Glaubhaftigkeit der damaligen Verfolgung vom SEM nicht</w:t>
      </w:r>
    </w:p>
    <w:p>
      <w:r>
        <w:t>D-95/2025 Seite 6 in Abrede gestellt wird. Dem SEM kann deshalb auch keine Verletzung des Anspruchs auf rechtliches Gehör respektive des Untersuchungsgrundsat- zes vorgeworfen werden (zum Untersuchungsgrundsatz vgl. BVGE 2012/21 E. 5.1). Die Behauptung des Beschwerdeführers, er habe erfah- ren, dass gegen ihn möglicherweise eine geheime Ermittlung eingeleitet worden sei und womöglich ein Haftbefehl vorliege, ist als zu wenig sub- stanziiert zu erachten, als dass sich daraus eine hinreichende asylrele- vante Verfolgungsgefahr ableiten liesse.</w:t>
      </w:r>
    </w:p>
    <w:p>
      <w:r>
        <w:rPr>
          <w:b/>
        </w:rPr>
        <w:t>E. 5.2</w:t>
      </w:r>
    </w:p>
    <w:p>
      <w:r>
        <w:t>Eine Verfolgungsgefahr aufgrund familiärer Verbindungen – insbeson- dere zum verstorbenen Onkel – ist ebenfalls zu verneinen. So ist aufgrund der Aussagen des Beschwerdeführers anzunehmen, dass sich das be- hördliche Interesse am Beschwerdeführer auf die Ergreifung des Onkels beschränkte (vgl. act. […]-38/16, F50), weshalb es nach dessen Tod nicht mehr bestehen dürfte. Den Akten sind denn auch keine Anhaltspunkte zu entnehmen, dass der Beschwerdeführer in jüngster Zeit aufgrund seiner familiären Verbindungen ernsthaften Nachteilen ausgesetzt gewesen wäre.</w:t>
      </w:r>
    </w:p>
    <w:p>
      <w:r>
        <w:rPr>
          <w:b/>
        </w:rPr>
        <w:t>E. 5.3</w:t>
      </w:r>
    </w:p>
    <w:p>
      <w:r>
        <w:t>Hinsichtlich der Bedrohung durch den neuen Partner seiner Ex-Frau ist dem SEM dahingehend zuzustimmen, dass die türkischen Behörden grundsätzlich willens und in der Lage sind, Schutz vor Verfolgung durch Private zu gewähren, und eine funktionierende Schutzinfrastruktur zur Ver- fügung steht (vgl. Urteil des Bundesverwaltungsgerichts D-180/2025 vom 21. Januar 2025 E. 5.2 m.w.H.). Dem Beschwerdeführer steht somit die Möglichkeit offen, sich gegebenenfalls an die Polizei zu wenden und diese um Schutz vor Nachstellungen und Drohungen seitens des neuen Partners seiner Ex-Frau zu ersuchen. Gründe, weshalb ihm die Behörden einen adäquaten Schutz verweigern könnten, sind nicht ersichtlich. Überdies stünde den Beschwerdeführern eine zumutbare innerstaatliche Fluchtalter- native innerhalb der Türkei offen, weshalb sie sich Nachstellungen auch durch eine Verlegung des Wohnsitzes entziehen könnten.</w:t>
      </w:r>
    </w:p>
    <w:p>
      <w:r>
        <w:rPr>
          <w:b/>
        </w:rPr>
        <w:t>E. 5.4</w:t>
      </w:r>
    </w:p>
    <w:p>
      <w:r>
        <w:t>Schliesslich sind die allgemeinen Diskriminierungen, welchen Angehö- rige der kurdischen Ethnie in der Türkei bisweilen ausgesetzt sind, praxis- gemäss als zu wenig intensiv für die Feststellung der Flüchtlingseigen- schaft zu erachten.</w:t>
      </w:r>
    </w:p>
    <w:p>
      <w:r>
        <w:rPr>
          <w:b/>
        </w:rPr>
        <w:t>E. 5.5</w:t>
      </w:r>
    </w:p>
    <w:p>
      <w:r>
        <w:t>Zusammenfassend ist folglich festzuhalten, dass das SEM zu Recht die Flüchtlingseigenschaft der Beschwerdeführer verneint und ihr Asylge- such abgelehnt hat.</w:t>
      </w:r>
    </w:p>
    <w:p>
      <w:r>
        <w:t>D-95/2025 Seite 7</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D-95/2025 Seite 8</w:t>
      </w:r>
    </w:p>
    <w:p>
      <w:r>
        <w:rPr>
          <w:b/>
        </w:rPr>
        <w:t>E. 7.2.4</w:t>
      </w:r>
    </w:p>
    <w:p>
      <w:r>
        <w:t>Die Vorinstanz wies in ihrer angefochtenen Verfügung zutreffend da- rauf hin, dass das Prinzip des flüchtlingsrechtlichen Non-Refoulement nur Personen schützt, die die Flüchtlingseigenschaft erfüllen. Da es den Be- schwerdeführern nicht gelungen ist, eine asylrechtlich erhebliche Gefähr- dung nachzuweisen oder glaubhaft zu machen, kann der in Art. 5 AsylG verankerte Grundsatz der Nichtrückschiebung im vorliegenden Verfahren keine Anwendung finden. Eine Rückkehr der Beschwerdeführer in den Hei- matstaat ist demnach unter dem Aspekt von Art. 5 AsylG rechtmässig.</w:t>
      </w:r>
    </w:p>
    <w:p>
      <w:r>
        <w:rPr>
          <w:b/>
        </w:rPr>
        <w:t>E. 7.2.5</w:t>
      </w:r>
    </w:p>
    <w:p>
      <w:r>
        <w:t>Sodann ergeben sich weder aus den Aussagen der Beschwerde- führer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 eine konkrete Gefahr ("real risk") nach- weisen oder glaubhaft machen, dass ihnen im Fall einer Rückschiebung Folter oder unmenschliche Behandlung drohen würde (vgl. Urteil des EGMR Saadi gegen Italien vom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SEM hat die Zumutbarkeit des Wegweisungsvollzugs zu Recht bejaht. Der Beschwerdeführer leidet gemäss den im Recht liegenden Arzt- berichten sowie seinen eigenen Angaben an einer (…). Sein Sohn B._______ leidet gemäss Arztbericht an (…) (act. […]-36/2) und darüber hinaus – gemäss Angaben des Beschwerdeführers – an (…) (vgl. act. […]- 38/16, F48). Dazu ist zu bemerken, dass die Türkei grundsätzlich über ein</w:t>
      </w:r>
    </w:p>
    <w:p>
      <w:r>
        <w:t>D-95/2025 Seite 9 funktionierendes Gesundheitssystem verfügt, das insbesondere in grösse- ren Städten dem europäischen Standard entspricht (vgl. Urteil BVGer D-1554/2022 vom 29. Juli 2022 E. 9.3.4 m.w.H.), weshalb sich daraus keine Unzumutbarkeit ableiten lässt. Das SEM führt auch zutreffend aus, dass das Kindeswohl (zum Kindeswohl vgl. BVGE 2009/51 E. 5.6) dem Vollzug der Wegweisung nicht entgegensteht.</w:t>
      </w:r>
    </w:p>
    <w:p>
      <w:r>
        <w:rPr>
          <w:b/>
        </w:rPr>
        <w:t>E. 7.3.3</w:t>
      </w:r>
    </w:p>
    <w:p>
      <w:r>
        <w:t>Nach dem Gesagten erweist sich der Vollzug der Wegweisung als zumutbar.</w:t>
      </w:r>
    </w:p>
    <w:p>
      <w:r>
        <w:rPr>
          <w:b/>
        </w:rPr>
        <w:t>E. 7.4</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den Beschwerde- führern aufzuerlegen (Art. 63 Abs. 1 VwVG) und auf insgesamt Fr. 750.– festzusetzen (Art. 1–3 des Reglements vom 21. Februar 2008 über die Kosten und Entschädigungen vor dem Bundesverwaltungsgericht [VGKE, SR 173.320.2]). Für die Begleichung der Kosten ist der in gleicher Höhe geleistete Kostenvorschuss zu verwenden.</w:t>
      </w:r>
    </w:p>
    <w:p>
      <w:r>
        <w:t>(Dispositiv nächste Seite)</w:t>
      </w:r>
    </w:p>
    <w:p>
      <w:r>
        <w:t>D-95/2025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