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D-95/2025 vom 11. Februar 2025</w:t>
      </w:r>
    </w:p>
    <w:p>
      <w:r>
        <w:t>Bundesverwaltungsgericht, 2025-02-11, DE</w:t>
      </w:r>
    </w:p>
    <w:p>
      <w:r>
        <w:rPr>
          <w:b/>
        </w:rPr>
        <w:t xml:space="preserve">Quelle: </w:t>
      </w:r>
      <w:r>
        <w:t>https://mcp.opencaselaw.ch/entscheid/bvger_D-95_2025</w:t>
      </w:r>
    </w:p>
    <w:p>
      <w:r>
        <w:t>FR: TAF D-95/2025 du 11 février 2025</w:t>
      </w:r>
    </w:p>
    <w:p>
      <w:r>
        <w:t>IT: TAF D-95/2025 del 11 febbraio 2025</w:t>
      </w:r>
    </w:p>
    <w:p>
      <w:pPr>
        <w:pStyle w:val="Heading2"/>
      </w:pPr>
      <w:r>
        <w:t>Regeste</w:t>
      </w:r>
    </w:p>
    <w:p>
      <w:r>
        <w:t>Asyl und Wegweisung (beschleunigtes Verfahren)</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Beschwerdeführer haben am Verfahren vor der Vorinstanz teilgenommen, sind durch die angefochtene Verfügung besonders berührt und haben ein schutzwürdiges Interesse an deren Aufhebung beziehungsweise Ände- rung. Sie sind daher zur Einreichung der Beschwerde legitimiert (Art. 105 und Art. 108 Abs. 1 AsylG; Art. 48 Abs. 1 sowie Art. 52 Abs. 1 VwVG). Schliesslich wurde der Kostenvorschuss fristgerecht bezahlt.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t>D-95/2025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vom Beschwerdeführer vorgebrachten persönlich erlebten Verhaf- tungen und Misshandlungen durch den türkischen Staat in den Jahren 1993 bis 2000 sind mangels Aktualität als nicht kausal für die Ausreise zu erachten (zum Erfordernis der Kausalität vgl. WALTER STÖCKLI, in: Auslän- derrecht – Eine umfassende Darstellung der Rechtsstellung von Auslände- rinnen und Ausländer in der Schweiz, 3. Aufl. 2022, N 14.38). Demgegen- über fehlt es an konkreten Hinweisen, dass die Beschwerdeführer auch aktuell einer Verfolgung von asylrelevanter Intensität ausgesetzt sein könn- ten. Der Umstand, dass nicht alle Dokumente betreffend die frühere Ver- folgung ins Deutsche übersetzt wurden, ändern an dieser Feststellung nichts, zumal die Glaubhaftigkeit der damaligen Verfolgung vom SEM nicht</w:t>
      </w:r>
    </w:p>
    <w:p>
      <w:r>
        <w:t>D-95/2025 Seite 6 in Abrede gestellt wird. Dem SEM kann deshalb auch keine Verletzung des Anspruchs auf rechtliches Gehör respektive des Untersuchungsgrundsat- zes vorgeworfen werden (zum Untersuchungsgrundsatz vgl. BVGE 2012/21 E. 5.1). Die Behauptung des Beschwerdeführers, er habe erfah- ren, dass gegen ihn möglicherweise eine geheime Ermittlung eingeleitet worden sei und womöglich ein Haftbefehl vorliege, ist als zu wenig sub- stanziiert zu erachten, als dass sich daraus eine hinreichende asylrele- vante Verfolgungsgefahr ableiten liesse.</w:t>
      </w:r>
    </w:p>
    <w:p>
      <w:r>
        <w:rPr>
          <w:b/>
        </w:rPr>
        <w:t>E. 5.2</w:t>
      </w:r>
    </w:p>
    <w:p>
      <w:r>
        <w:t>Eine Verfolgungsgefahr aufgrund familiärer Verbindungen – insbeson- dere zum verstorbenen Onkel – ist ebenfalls zu verneinen. So ist aufgrund der Aussagen des Beschwerdeführers anzunehmen, dass sich das be- hördliche Interesse am Beschwerdeführer auf die Ergreifung des Onkels beschränkte (vgl. act. […]-38/16, F50), weshalb es nach dessen Tod nicht mehr bestehen dürfte. Den Akten sind denn auch keine Anhaltspunkte zu entnehmen, dass der Beschwerdeführer in jüngster Zeit aufgrund seiner familiären Verbindungen ernsthaften Nachteilen ausgesetzt gewesen wäre.</w:t>
      </w:r>
    </w:p>
    <w:p>
      <w:r>
        <w:rPr>
          <w:b/>
        </w:rPr>
        <w:t>E. 5.3</w:t>
      </w:r>
    </w:p>
    <w:p>
      <w:r>
        <w:t>Hinsichtlich der Bedrohung durch den neuen Partner seiner Ex-Frau ist dem SEM dahingehend zuzustimmen, dass die türkischen Behörden grundsätzlich willens und in der Lage sind, Schutz vor Verfolgung durch Private zu gewähren, und eine funktionierende Schutzinfrastruktur zur Ver- fügung steht (vgl. Urteil des Bundesverwaltungsgerichts D-180/2025 vom 21. Januar 2025 E. 5.2 m.w.H.). Dem Beschwerdeführer steht somit die Möglichkeit offen, sich gegebenenfalls an die Polizei zu wenden und diese um Schutz vor Nachstellungen und Drohungen seitens des neuen Partners seiner Ex-Frau zu ersuchen. Gründe, weshalb ihm die Behörden einen adäquaten Schutz verweigern könnten, sind nicht ersichtlich. Überdies stünde den Beschwerdeführern eine zumutbare innerstaatliche Fluchtalter- native innerhalb der Türkei offen, weshalb sie sich Nachstellungen auch durch eine Verlegung des Wohnsitzes entziehen könnten.</w:t>
      </w:r>
    </w:p>
    <w:p>
      <w:r>
        <w:rPr>
          <w:b/>
        </w:rPr>
        <w:t>E. 5.4</w:t>
      </w:r>
    </w:p>
    <w:p>
      <w:r>
        <w:t>Schliesslich sind die allgemeinen Diskriminierungen, welchen Angehö- rige der kurdischen Ethnie in der Türkei bisweilen ausgesetzt sind, praxis- gemäss als zu wenig intensiv für die Feststellung der Flüchtlingseigen- schaft zu erachten.</w:t>
      </w:r>
    </w:p>
    <w:p>
      <w:r>
        <w:rPr>
          <w:b/>
        </w:rPr>
        <w:t>E. 5.5</w:t>
      </w:r>
    </w:p>
    <w:p>
      <w:r>
        <w:t>Zusammenfassend ist folglich festzuhalten, dass das SEM zu Recht die Flüchtlingseigenschaft der Beschwerdeführer verneint und ihr Asylge- such abgelehnt hat.</w:t>
      </w:r>
    </w:p>
    <w:p>
      <w:r>
        <w:t>D-95/2025 Seite 7</w:t>
      </w:r>
    </w:p>
    <w:p>
      <w:r>
        <w:rPr>
          <w:b/>
        </w:rPr>
        <w:t>E. 6.1</w:t>
      </w:r>
    </w:p>
    <w:p>
      <w:r>
        <w:t>Lehnt das SEM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 verfügen insbesondere weder über eine auslän- derrechtliche Aufenthaltsbewilligung noch über einen Anspruch auf Ertei- lung einer solchen. Die Wegweisung wurde demnach ebenfalls zu Recht angeordnet (vgl. BVGE 2013/37 E. 4.4; 2009/50 E. 9, je m.w.H.).</w:t>
      </w:r>
    </w:p>
    <w:p>
      <w:r>
        <w:rPr>
          <w:b/>
        </w:rPr>
        <w:t>E. 7.1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7.2.1</w:t>
      </w:r>
    </w:p>
    <w:p>
      <w:r>
        <w:t>Der Vollzug ist nicht zulässig, wenn völkerrechtliche Verpflichtungen der Schweiz einer Weiterreise der Ausländerin oder des Ausländers in den Heimat-, Herkunfts- oder einen Drittstaat entgegenstehen (Art. 83 Abs. 3 AIG).</w:t>
      </w:r>
    </w:p>
    <w:p>
      <w:r>
        <w:rPr>
          <w:b/>
        </w:rPr>
        <w:t>E. 7.2.2</w:t>
      </w:r>
    </w:p>
    <w:p>
      <w:r>
        <w:t>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w:t>
      </w:r>
    </w:p>
    <w:p>
      <w:r>
        <w:rPr>
          <w:b/>
        </w:rPr>
        <w:t>E. 7.2.3</w:t>
      </w:r>
    </w:p>
    <w:p>
      <w:r>
        <w:t>Gemäss Art. 25 Abs. 3 BV, Art. 3 des Übereinkommens vom 10. De- zember 1984 gegen Folter und andere grausame, unmenschliche oder er- niedrigende Behandlung oder Strafe (FoK, SR 0.105) und der Praxis zu Art. 3 EMRK darf niemand der Folter oder unmenschlicher oder erniedri- gender Strafe oder Behandlung unterworfen werden.</w:t>
      </w:r>
    </w:p>
    <w:p>
      <w:r>
        <w:t>D-95/2025 Seite 8</w:t>
      </w:r>
    </w:p>
    <w:p>
      <w:r>
        <w:rPr>
          <w:b/>
        </w:rPr>
        <w:t>E. 7.2.4</w:t>
      </w:r>
    </w:p>
    <w:p>
      <w:r>
        <w:t>Die Vorinstanz wies in ihrer angefochtenen Verfügung zutreffend da- rauf hin, dass das Prinzip des flüchtlingsrechtlichen Non-Refoulement nur Personen schützt, die die Flüchtlingseigenschaft erfüllen. Da es den Be- schwerdeführern nicht gelungen ist, eine asylrechtlich erhebliche Gefähr- dung nachzuweisen oder glaubhaft zu machen, kann der in Art. 5 AsylG verankerte Grundsatz der Nichtrückschiebung im vorliegenden Verfahren keine Anwendung finden. Eine Rückkehr der Beschwerdeführer in den Hei- matstaat ist demnach unter dem Aspekt von Art. 5 AsylG rechtmässig.</w:t>
      </w:r>
    </w:p>
    <w:p>
      <w:r>
        <w:rPr>
          <w:b/>
        </w:rPr>
        <w:t>E. 7.2.5</w:t>
      </w:r>
    </w:p>
    <w:p>
      <w:r>
        <w:t>Sodann ergeben sich weder aus den Aussagen der Beschwerde- führer noch aus den Akten Anhaltspunkte dafür, dass sie für den Fall einer Ausschaffung in den Heimatstaat dort mit beachtlicher Wahrscheinlichkeit einer nach Art. 3 EMRK oder Art. 1 FoK verbotenen Strafe oder Behand- lung ausgesetzt wären. Gemäss der Praxis des Europäischen Gerichtsho- fes für Menschenrechte (EGMR) sowie jener des UN-Anti-Folterausschus- ses müssten die Beschwerdeführer eine konkrete Gefahr ("real risk") nach- weisen oder glaubhaft machen, dass ihnen im Fall einer Rückschiebung Folter oder unmenschliche Behandlung drohen würde (vgl. Urteil des EGMR Saadi gegen Italien vom 28. Februar 2008, Grosse Kammer 37201/06, §§ 124–127 m.w.H.). Nach den vorstehenden Ausführungen ge- lingt ihnen das nicht. Auch die allgemeine Menschenrechtssituation im Hei- matstaat lässt den Wegweisungsvollzug zum heutigen Zeitpunkt nicht als unzulässig erscheinen.</w:t>
      </w:r>
    </w:p>
    <w:p>
      <w:r>
        <w:rPr>
          <w:b/>
        </w:rPr>
        <w:t>E. 7.2.6</w:t>
      </w:r>
    </w:p>
    <w:p>
      <w:r>
        <w:t>Nach dem Gesagten ist der Vollzug der Wegweisung sowohl im Sinne der asyl- als auch der völkerrechtlichen Bestimmungen zulässig.</w:t>
      </w:r>
    </w:p>
    <w:p>
      <w:r>
        <w:rPr>
          <w:b/>
        </w:rPr>
        <w:t>E. 7.3.1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7.3.2</w:t>
      </w:r>
    </w:p>
    <w:p>
      <w:r>
        <w:t>Das SEM hat die Zumutbarkeit des Wegweisungsvollzugs zu Recht bejaht. Der Beschwerdeführer leidet gemäss den im Recht liegenden Arzt- berichten sowie seinen eigenen Angaben an einer (…). Sein Sohn B._______ leidet gemäss Arztbericht an (…) (act. […]-36/2) und darüber hinaus – gemäss Angaben des Beschwerdeführers – an (…) (vgl. act. […]- 38/16, F48). Dazu ist zu bemerken, dass die Türkei grundsätzlich über ein</w:t>
      </w:r>
    </w:p>
    <w:p>
      <w:r>
        <w:t>D-95/2025 Seite 9 funktionierendes Gesundheitssystem verfügt, das insbesondere in grösse- ren Städten dem europäischen Standard entspricht (vgl. Urteil BVGer D-1554/2022 vom 29. Juli 2022 E. 9.3.4 m.w.H.), weshalb sich daraus keine Unzumutbarkeit ableiten lässt. Das SEM führt auch zutreffend aus, dass das Kindeswohl (zum Kindeswohl vgl. BVGE 2009/51 E. 5.6) dem Vollzug der Wegweisung nicht entgegensteht.</w:t>
      </w:r>
    </w:p>
    <w:p>
      <w:r>
        <w:rPr>
          <w:b/>
        </w:rPr>
        <w:t>E. 7.3.3</w:t>
      </w:r>
    </w:p>
    <w:p>
      <w:r>
        <w:t>Nach dem Gesagten erweist sich der Vollzug der Wegweisung als zumutbar.</w:t>
      </w:r>
    </w:p>
    <w:p>
      <w:r>
        <w:rPr>
          <w:b/>
        </w:rPr>
        <w:t>E. 7.4</w:t>
      </w:r>
    </w:p>
    <w:p>
      <w:r>
        <w:t>Schliesslich obliegt es den Beschwerdeführern, sich bei der zuständi- gen Vertretung des Heimatstaates die für eine Rückkehr notwendigen Rei- sedokumente zu beschaffen (vgl. Art. 8 Abs. 4 AsylG und dazu auch BVGE 2008/34 E. 12), weshalb der Vollzug der Wegweisung auch als möglich zu bezeichnen ist (Art. 83 Abs. 2 AIG).</w:t>
      </w:r>
    </w:p>
    <w:p>
      <w:r>
        <w:rPr>
          <w:b/>
        </w:rPr>
        <w:t>E. 7.5</w:t>
      </w:r>
    </w:p>
    <w:p>
      <w:r>
        <w:t>Zusammenfassend hat die Vorinstanz den Wegweisungsvollzug zu Recht als zulässig, zumutbar und möglich bezeichnet. Eine Anordnung der vorläufigen Aufnahme fällt somit ausser Betracht (Art. 83 Abs. 1–4 AIG).</w:t>
      </w:r>
    </w:p>
    <w:p>
      <w:r>
        <w:rPr>
          <w:b/>
        </w:rPr>
        <w:t>E. 8</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9</w:t>
      </w:r>
    </w:p>
    <w:p>
      <w:r>
        <w:t>Bei diesem Ausgang des Verfahrens sind die Kosten den Beschwerde- führern aufzuerlegen (Art. 63 Abs. 1 VwVG) und auf insgesamt Fr. 750.– festzusetzen (Art. 1–3 des Reglements vom 21. Februar 2008 über die Kosten und Entschädigungen vor dem Bundesverwaltungsgericht [VGKE, SR 173.320.2]). Für die Begleichung der Kosten ist der in gleicher Höhe geleistete Kostenvorschuss zu verwenden.</w:t>
      </w:r>
    </w:p>
    <w:p>
      <w:r>
        <w:t>(Dispositiv nächste Seite)</w:t>
      </w:r>
    </w:p>
    <w:p>
      <w:r>
        <w:t>D-95/2025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