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D-955/2012 vom 11. September 2012</w:t>
      </w:r>
    </w:p>
    <w:p>
      <w:r>
        <w:t>Bundesverwaltungsgericht, 2012-09-11, DE</w:t>
      </w:r>
    </w:p>
    <w:p>
      <w:r>
        <w:rPr>
          <w:b/>
        </w:rPr>
        <w:t xml:space="preserve">Quelle: </w:t>
      </w:r>
      <w:r>
        <w:t>https://mcp.opencaselaw.ch/entscheid/bvger_D-955_2012</w:t>
      </w:r>
    </w:p>
    <w:p>
      <w:r>
        <w:t>FR: TAF D-955/2012 du 11 septembre 2012</w:t>
      </w:r>
    </w:p>
    <w:p>
      <w:r>
        <w:t>IT: TAF D-955/2012 del 11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Beschwerdeeingabe vom 20. Februar 2012 sind nicht geeignet, eine Änderung der vorinstanzlichen Verfügung zu bewir­ken. Der Argumentation des BFM werden keine stichhaltigen und substanziierten Gründe entgegengesetzt. Eine diesbezügliche Auseinandersetzung unterbleibt zwar nicht, doch vermögen die Ausführungen des Beschwerdeführers, welcher im Wesentlichen an der Asylrelevanz sowie der Glaubhaftigkeit seiner Vorbringen festhält, die nachvollziehbaren Erwägungen des BFM nicht umzustossen. Auch die auf Beschwerdeebene eingereichten Unterlagen vermögen zu keiner anderen Betrachtungsweise zu führen. Zum einen handelt es sich im sri-lankischen Kontext bei den drei englischsprachigen Referenzschreiben in Kopie vom 12. Dezember 2011, vom 24. Januar 2012 sowie vom 31. Ja­nuar 2012 um private Gefälligkeitsschreiben, denen kein Beweiswert zu­kommt, währendem sich der Inhalt des fremdsprachigen Schreibens des Grama Officers von D._______ vom 31. Januar 2012 dem Bundesverwaltungsgericht nicht erschliesst; dies kann in casu offenblei­ben. Denn der Umstand, dass der Beschwerdeführer eigenen Angaben zufolge Sri Lanka über den Flughafen Colombo (...), dem einzigen internationalen Flughafen Sri Lankas, verlas­sen konnte, spricht im sri-lankischen Kontext gegen eine asylrelevante Verfolgung.</w:t>
      </w:r>
    </w:p>
    <w:p>
      <w:r>
        <w:rPr>
          <w:b/>
        </w:rPr>
        <w:t>E. 5.2</w:t>
      </w:r>
    </w:p>
    <w:p>
      <w:r>
        <w:t>Aufgrund der vorstehenden Erwägungen erübrigt es sich, auf die weiteren Beweismittel im Einzelnen einzugehen, da sie am Ergebnis der vorgenommenen Würdigung nichts zu ändern vermögen. Unter diesen Umständen ist somit festzuhalten, dass der Beschwerdeführer einen flüchtlingsrechtlich bedeutsamen Sachverhalt weder nachgewiesen noch glaubhaft gemacht hat. Die Feststellung des BFM, der Beschwerdeführer erfülle die Flüchtlingseigenschaft gemäss Art. 3 AsylG nicht, ist dementsprechend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Gemäss öffentlich zugänglichen Quellen ist heute im Heimatstaat des Beschwerdeführers von einer seit Ende des bewaffneten Konflikts zwischen der sri-lankischen Armee und den LTTE im Mai 2009 erheblich verbesserten Menschenrechts- und Sicherheitslage auszugehen, auch wenn sich das Land immer noch in einem Entwicklungsprozess befindet (vgl. BVGE 2011/24 E. 12 S. 509).</w:t>
      </w:r>
    </w:p>
    <w:p>
      <w:r>
        <w:rPr>
          <w:b/>
        </w:rPr>
        <w:t>E. 7.4.2</w:t>
      </w:r>
    </w:p>
    <w:p>
      <w:r>
        <w:t>Im Distrikt Jaffna und in den südlichen Teilen der Distrikte Vavuniya und Mannar herrscht keine Situation allgemeiner Gewalt und die dortige politische Lage ist nicht dermassen angespannt, dass eine Rückkehr dorthin als generell unzumutbar eingestuft werden müsste (vgl. BVGE 2011/24 E. 13.2.1. S. 510).</w:t>
      </w:r>
    </w:p>
    <w:p>
      <w:r>
        <w:rPr>
          <w:b/>
        </w:rPr>
        <w:t>E. 7.5</w:t>
      </w:r>
    </w:p>
    <w:p>
      <w:r>
        <w:t>Zu prüfen bleibt die individuelle Zumutbarkeit der Wegweisung für den Beschwerdeführer. Für Personen, die aus der Nordprovinz stammen, bil­det die Beendigung des Bürgerkrieges im Mai 2009 das entscheidende zeitliche Moment. Dabei ist für Personen, die aus der Nordprovinz (ausserhalb des Vanni-Gebietes) stammen und die dieses Gebiet erst nach Beendigung des Bürgerkrieges im Mai 2009 verlassen haben, der Wegweisungsvollzug in dieses Gebiet als grundsätzlich zumutbar zu beurteilen (vgl. a.a.O. E. 13.2.1.1 S. 511).</w:t>
      </w:r>
    </w:p>
    <w:p>
      <w:r>
        <w:rPr>
          <w:b/>
        </w:rPr>
        <w:t>E. 7.6</w:t>
      </w:r>
    </w:p>
    <w:p>
      <w:r>
        <w:t>Eigenen Angaben zufolge stammt der Beschwerdeführer aus dem Vanni-Gebiet.</w:t>
      </w:r>
    </w:p>
    <w:p>
      <w:r>
        <w:rPr>
          <w:b/>
        </w:rPr>
        <w:t>E. 7.6.1</w:t>
      </w:r>
    </w:p>
    <w:p>
      <w:r>
        <w:t>Das Bundesverwaltungsgericht hat in BVGE 2011/24 festgehalten, dass der Wegweisungsvollzug in das Vanni-Gebiet aufgrund der aktuellen Lage, namentlich der weitgehend zerstörten Infrastruktur und der Vermi­nung, weiterhin als unzumutbar einzustufen und für die aus diesem Ge­biet stammenden Personen zu prüfen ist, ob eine Sinne der Rechtspre­chung zumutbare Aufenthaltsalternative existiert (vgl. BVGE 2011/24 E. 13.2.2.3 S. 513).</w:t>
      </w:r>
    </w:p>
    <w:p>
      <w:r>
        <w:rPr>
          <w:b/>
        </w:rPr>
        <w:t>E. 7.7</w:t>
      </w:r>
    </w:p>
    <w:p>
      <w:r>
        <w:t>Den Akten zufolge hielt sich der aus dem Vanni-Gebiet stammende Beschwerdeführer von Januar bis August 2005 in Colombo auf. Am 21. August 2008 verliess der Beschwerdeführer das Vanni-Gebiet erneut und weilte bis zum 26. August 2008 in F._______ (vgl. A1/13 S. 2). Danach liess er sich bis zur Ausreise im Februar 2009 im Distrikt C._______ (Nord­westprovinz) nieder (vgl. A1/13 S. 2). Seine Eltern haben sich zuerst in F._______ (ebenfalls ausserhalb des Vanni-Gebietes) niedergelassen (vgl. a.a.O.), und leben angeblich mittlerweile in Indien (vgl. Referenzschrei­ben vom 12. Dezember 2011).</w:t>
      </w:r>
    </w:p>
    <w:p>
      <w:r>
        <w:rPr>
          <w:b/>
        </w:rPr>
        <w:t>E. 7.8</w:t>
      </w:r>
    </w:p>
    <w:p>
      <w:r>
        <w:t>Im Rahmen der Befragungen hat der Beschwerdeführer vorgetragen, er habe 13 Jahre lang die Schule besucht (vgl. A7/14 S. 3 F. 9) und mit dem A-Level abgeschlossen. Als Beruf gab er Landvermesser an (vgl. A1/13 S. 2). Sein Auskommen habe er jedoch im Möbelladen seines Va­ters gefunden (vgl. a.a.O., "Mein Vater hatte einen eigenen Laden und ich habe ihm geholfen."), wo er von August 2005 bis Oktober 2006 gearbeitet habe. Aufgrund der persönlichen Verhältnisse des Beschwerdeführers ist vom Vorliegen begünstigender Faktoren auszugehen, weshalb das Bestehen einer zumutbaren Aufenthaltsalternative ausserhalb des Vanni-Gebiets zu bejahen ist, denn es kann davon ausgegangen werden, dass er während seinen Aufenthalten in Colombo und im Distrikt C._______ sozi­ale Kontakte geknüpft hat. Seine Ortswechsel innerhalb Sri Lankas sowie die Bereitschaft, alleine in die Schweiz zu reisen, lassen auf die Fähigkeit des Beschwerdeführer schliessen, sich an veränderte Verhältnisse anzupassen. Es ist somit anzunehmen, dass er bei einer Rückkehr nach Sri Lanka auf ein existierendes, tragfähiges soziales Netz stossen wird, selbst wenn seine Eltern tatsächlich mittlerweile in Indien leben sollten. Im Übrigen könnten sie dem Beschwerdeführer von dort aus gegebenen­falls finanzielle Unterstützung gewähren. Den Aussagen des Beschwerdeführers zufolge, kam sein Vater für das Lösegeld auf. Folglich verfügte die Familie über einen Zugang zu finanziellen Mitteln, und es ist davon auszugehen, dass seine Familie ihm auch bei seiner Rückkehr Unter­stützung zukommen lassen wird. Des Weiteren leben ein Bruder und eine Schwester des Beschwerdeführers in London (vgl. A1/13 S. 3), ein Onkel in Deutschland und ein Bruder in der Schweiz (vgl. A1/13 S. 4). Auch die übrigen im Ausland lebenden Verwandten des Beschwerdeführers können ihm, soweit dies erforderlich sein sollte, finanzielle Zuwendungen zu kommen lassen. Der Beschwerdeführer ist den Akten zufolge gesund, weshalb keine konkreten Anhaltspunkte dafür bestehen, dass er bei einer Rückkehr nach Sri Lanka in eine existenzielle Notlage geraten würde. Nach dem Gesagten erweist sich der Vollzug der Wegweisung auch als zumutbar.</w:t>
      </w:r>
    </w:p>
    <w:p>
      <w:r>
        <w:rPr>
          <w:b/>
        </w:rPr>
        <w:t>E. 7.9</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7.10</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5. März 2012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