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D-955/2009 vom 9. Juni 2010</w:t>
      </w:r>
    </w:p>
    <w:p>
      <w:r>
        <w:t>Bundesverwaltungsgericht, 2010-06-09, DE</w:t>
      </w:r>
    </w:p>
    <w:p>
      <w:r>
        <w:rPr>
          <w:b/>
        </w:rPr>
        <w:t xml:space="preserve">Quelle: </w:t>
      </w:r>
      <w:r>
        <w:t>https://mcp.opencaselaw.ch/entscheid/bvger_D-955_2009</w:t>
      </w:r>
    </w:p>
    <w:p>
      <w:r>
        <w:t>FR: TAF D-955/2009 du 9 juin 2010</w:t>
      </w:r>
    </w:p>
    <w:p>
      <w:r>
        <w:t>IT: TAF D-955/2009 del 9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sowie Art. 108 Abs. 1 AsylG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ist in Übereinstimmung mit den Ausführungen der Vorinstanz in der angefochtenen Verfügung festzustellen, dass die Beschwerdeführenden, die aufgrund der Aktenlage als Staatsangehörige der Republik Kosovo zu betrachten sind, infolge ihrer serbischen Abstammung und Geburt auf (ehemaligem) Staatsgebiet der Republik Serbien gemäss serbischem Gesetz (Nr. 135/04, 21. Dezember 2004) auch über die serbische Staatsangehörigkeit verfügen (vgl. das zur Publikation vorgesehene Urteil D-7561/2008 vom 15. April 2010 E. 6.4.2). Die Beschwerdeführenden (...) haben beim BFM UNMIK-Ausweise eingereicht und sind - (...) - Besitzer serbischer Identitätskarten. Asylsuchende, die mehrere Staatsangehörigkeiten besitzen, sind nicht auf den Schutz eines Drittstaates angewiesen, sofern sie in einem der Staaten, dessen Staatsangehörigkeit sie besitzen, Schutz vor Verfolgung finden können (D-7561/2008 a.a.O. E. 6.5.1). Die Beschwerdeführenden können sich aufgrund ihrer serbischen Staatszugehörigkeit in Serbien niederlassen. Anhaltspunkte dafür, den Beschwerdeführenden drohe in Serbien asylrechtlich relevante Verfolgung, liegen keine vor. Zudem wurde in der angefochtenen Verfügung in zutreffender Weise darauf hingewiesen, dass für Serben aus den südlichen Bezirken Kosovos grundsätzlich eine innerstaatliche Fluchtalternative im Norden Kosovos besteht, welche die Flüchtlingseigenschaft - und damit ebenfalls die Asylgewährung - ausschliesst.</w:t>
      </w:r>
    </w:p>
    <w:p>
      <w:r>
        <w:rPr>
          <w:b/>
        </w:rPr>
        <w:t>E. 5</w:t>
      </w:r>
    </w:p>
    <w:p>
      <w:r>
        <w:t>Das BFM legt in der angefochtenen Verfügung dar, weshalb die geltend gemachten Verfolgungsvorbringen den Anforderungen an die Asylrelevanz nicht genügen. Aufgrund der Akten erweisen sich die vorinstanzlichen Erwägungen als zutreffend. Daher kann zur Vermeidung von Wiederholungen auf die nicht zu beanstandenden Ausführungen des BFM in der angefochtenen Verfügung verwiesen werden (vgl. auch vorstehend Sachverhalt Bst. B). Die Vorbringen in der Rechtsmitteleingabe und die gleichzeitig eingereichten Dokumente sind nicht geeignet, eine Änderung der angefochtenen Verfügung herbeizuführen, zumal die auf Beschwerdeebene im Zusammenhang mit der Asylfrage beigebrachten Schriftstücke allgemeiner Natur sind und die persönliche Situation der Beschwerdeführenden nicht beschlagen. Zusammenfassend ist festzuhalten, dass die Verfolgungsvorbringen der Beschwerdeführenden nicht asylrelevant sind. Die Vorinstanz hat den geltend gemachten Sachverhalt weder unvollständig oder rechtsfehlerhaft festgestellt noch daraus die falschen Schlüsse gezogen. Sie hat die Asylgesuche der Beschwerdeführenden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EMARK 2006 Nr. 6 E. 4.2 S. 54 f.).</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Wie die Vorinstanz zu Recht festgestellt hat, erscheint der Vollzug der aus Pones in der Gemeinde Gnjilane im Süden Kosovos stammenden Beschwerdeführenden dorthin nicht zumutbar, zumal die Wahrscheinlichkeit einer konkreten Gefährdung für Serben ausserhalb ihrer Enklave im Norden Kosovos weiterhin nicht ausgeschlossen werden kann. Nachstehend wird demnach geprüft, ob für die Beschwerdeführenden eine Zufluchtsalternative im Norden Kosovos oder in Serbien besteht.</w:t>
      </w:r>
    </w:p>
    <w:p>
      <w:r>
        <w:rPr>
          <w:b/>
        </w:rPr>
        <w:t>E. 7.3.2</w:t>
      </w:r>
    </w:p>
    <w:p>
      <w:r>
        <w:t>In Bezug auf die allgemeine Sicherheits- und Menschenrechtslage ist festzustellen, dass in Serbien keine Kriegs- oder Bürgerkriegssituation und auch keine Situation allgemeiner Gewalt herrscht, die den Wegweisungsvollzug unzumutbar erscheinen liesse. Der Vollzug der Wegweisung von ethnischen Serben mit letztem Wohnsitz in Kosovo nach Serbien ist grundsätzlich zumutbar (vgl. das zur Publikation vorgesehene Urteil D-7561/2008 vom 15. April 2010 E. 8.3.2.). Dasselbe gilt auch für die serbische Enklave im Norden Kosovos.</w:t>
      </w:r>
    </w:p>
    <w:p>
      <w:r>
        <w:rPr>
          <w:b/>
        </w:rPr>
        <w:t>E. 7.3.3</w:t>
      </w:r>
    </w:p>
    <w:p>
      <w:r>
        <w:t>Zu prüfen bleibt, ob die Beschwerdeführenden in der serbischen Enklave im Norden Kosovos oder in Serbien aus individuellen Gründen einer konkreten Gefährdung ausgesetzt sein könnten. Dabei sind gemäss der in EMARK 1996 Nr. 2 statuierten, weiterhin zu beachtenden Rechtsprechung der vormals zuständigen Schweizerischen Asylrekurskommission (ARK) bei der Beurteilung einer alternativen Zufluchtsmöglichkeit, an die naturgemäss höhere Anforderungen zu stellen sind als bei einer Rückführung in die Heimatregion, im konkreten Einzelfall folgende Kriterien zu berücksichtigen (vgl. D- 7561/2008 a.a.O. E. 8.3.3. ff. insbesondere E. 8.3.3.6): - Sicherung des wirtschaftlichen Existenzminimums: Massgebend sind hier in erster Linie die Sprachkenntnisse sowie die Schul- und Berufsbildung und -erfahrung der asylsuchenden Person, wobei auch Kenntnisse mitzuberücksichtigen sind, welche sie sich allenfalls im Rahmen ihres Aufenthaltes in der Schweiz angeeignet hat. Gerade diese Faktoren fördern die für eine Integration erforderliche Flexibilität in besonderem Masse. Je besser die Kenntnisse der Sprache am Zufluchtsort sind und je höher der Ausbildungsgrad ausfällt, desto günstiger werden sich diese Umstände auf die Sicherung des wirtschaftlichen Existenzminimums auswirken. - Bezug zum möglichen Zufluchtsort: Allfällige Beziehungen zum Zufluchtsort erleichtern das wirtschaftliche und soziale Fortkommen der asylsuchenden Person. Solche Beziehungen können sich aus früheren Aufenthalten (insbesondere auch Arbeitsstellen) der betroffenen Person selber am möglichen Zufluchtsort ergeben, wobei diese indessen erst ab einer gewissen minimalen Dauer ernsthaft ins Gewicht fallen. Daneben sind aber auch Beziehungen zu Verwandten und Freunden zu berücksichtigen. Dabei kann bei engen verwandtschaftlichen Verhältnissen die Unterstützungsbereitschaft von Verwandten je nach soziokulturellem Hintergrund grundsätzlich vermutet werden. Bezüglich Freunden und Bekannten muss sich eine solche dagegen ausdrücklich aus den Akten ergeben. Das Kriterium des sozialen Beziehungsnetzes wird relativiert beziehungsweise ganz aufgehoben, wenn der Ort, zu dem Beziehungen bestehen, durch überdurchschnittliche Repression gegenüber Angehörigen ethnischer Minderheiten gekennzeichnet ist. - Soziale Integration: Bei diesem Kriterium sind Geschlecht, Zivilstand, Alter, die Frage Einzelperson / Familie, Anzahl und Alter der Kinder, die vorhandenen finanziellen Mittel, allfällige Sprachkenntnisse des nicht erwerbstätigen Ehegatten und der Kinder, der allgemeine Gesundheitszustand und die allgemeine familiäre Situation zu beachten. In casu ist festzuhalten, dass es sich beim Beschwerdeführer um (...) handelt, welcher (...). Die Beschwerdeführerin war immer als (...) tätig. (...); weder im Norden Kosovos noch in Serbien leben irgendwelche Verwandten oder sonstige Bezugspersonen. Die Beschwerdeführenden gehörten in Süd-Kosovo unbestritten der serbischen Minderheitsethnie an. Indes verfügen sie weder in der Enklave im Norden Kosovos, wo die Serben die überwiegende Mehrheit der Bevölkerung stellen, noch in Serbien selbst über ein - gemäss der Praxis des Bundesverwaltungsgerichts erforderliches - tragfähiges Beziehungsnetz. Insbesondere dürften sie unter den gegebenen Umständen auch kaum in der Lage sein, sich dort wirtschaftlich zu integrieren. Insgesamt erscheint somit derzeit ein Wegweisungsvollzug sowohl in die serbische Enklave im Norden Kosovos als auch nach Serbien unzumutbar.</w:t>
      </w:r>
    </w:p>
    <w:p>
      <w:r>
        <w:rPr>
          <w:b/>
        </w:rPr>
        <w:t>E. 8</w:t>
      </w:r>
    </w:p>
    <w:p>
      <w:r>
        <w:t>Zusammenfassend ist daher die Beschwerde gutzuheissen, soweit sie die Frage des Wegweisungsvollzugs betrifft. Im Übrigen ist die Beschwerde abzuweisen. Die Ziffern 4 und 5 des Dispositivs der vorinstanzlichen Verfügung vom 15. Januar 2009 sind aufzuheben, und die Vorinstanz ist anzuweisen, die Beschwerdeführenden in der Schweiz wegen Unzumutbarkeit des Wegweisungsvollzugs vorläufig aufzunehmen.</w:t>
      </w:r>
    </w:p>
    <w:p>
      <w:r>
        <w:rPr>
          <w:b/>
        </w:rPr>
        <w:t>E. 9.1</w:t>
      </w:r>
    </w:p>
    <w:p>
      <w:r>
        <w:t>Bei diesem Ausgang des Verfahrens wären dessen Kosten den Beschwerdeführenden aufzuerlegen, soweit diese unterliegen (Art. 63 Abs. 1 und 5 VwVG). Zwar wurde das Gesuch der Beschwerdeführenden um Gewährung der unentgeltlichen Prozessführung mit Zwischenverfügung vom 19. Februar 2009 abgewiesen. Indes ist gestützt auf Art. 6 Bst. b des Reglements vom 21. Februar 2008 über die Kosten und Entschädigungen vor dem Bundesverwaltungsgericht (VGKE, SR 173.320.2) auf die Auferlegung von Verfahrenskosten zu verzichten ist. Mithin ist den Beschwerdeführenden der am 27. Februar 2009 geleistete Kostenvorschuss von Fr. 600.-- zurückzuerstatten.</w:t>
      </w:r>
    </w:p>
    <w:p>
      <w:r>
        <w:rPr>
          <w:b/>
        </w:rPr>
        <w:t>E. 9.2</w:t>
      </w:r>
    </w:p>
    <w:p>
      <w:r>
        <w:t>Ganz oder teilweise obsiegende Parteien haben Anspruch auf eine Parteientschädigung für die ihnen erwachsenen notwendigen Kosten (Art. 64 Abs. 1 VwVG; Art. 7 Abs. 1 VGKE). Den im Beschwerdeverfahren nicht anwaltlich vertretenen Beschwerdeführenden ist keine Parteientschädigung auszurichten, weil ihnen aus der Beschwerdeführung keine notwendigen Kosten im Sinne der gesetzlichen Bestimmungen (Art. 64 Abs. 1 VwVG i.V.m. Art. 7 Abs. 1 und 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