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D-947/2016 vom 15. August 2016</w:t>
      </w:r>
    </w:p>
    <w:p>
      <w:r>
        <w:t>Bundesverwaltungsgericht, 2016-08-15, FR</w:t>
      </w:r>
    </w:p>
    <w:p>
      <w:r>
        <w:rPr>
          <w:b/>
        </w:rPr>
        <w:t xml:space="preserve">Quelle: </w:t>
      </w:r>
      <w:r>
        <w:t>https://mcp.opencaselaw.ch/entscheid/bvger_D-947_2016</w:t>
      </w:r>
    </w:p>
    <w:p>
      <w:r>
        <w:t>FR: TAF D-947/2016 du 15 août 2016</w:t>
      </w:r>
    </w:p>
    <w:p>
      <w:r>
        <w:t>IT: TAF D-947/2016 del 15 agosto 2016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ad art. 62 PA, nos 37 à 40, p. 1249 s. et ATAF 2009/57 consid. 1.2 et 2007/41 consid. 2).</w:t>
      </w:r>
    </w:p>
    <w:p>
      <w:r>
        <w:rPr>
          <w:b/>
        </w:rPr>
        <w:t>E. 2</w:t>
      </w:r>
    </w:p>
    <w:p>
      <w:r>
        <w:t>Sur le plan formel, l'intéressé allègue une violation de son droit d'être entendu, énoncé à l'art. 29 al. 2 de la Constitution fédérale de la Confédération suisse du 18 avril 1999 (Cst., RS 101), d'une part, en raison de son aphonie intervenue lors de l'audition du 11 novembre 2014, d'autre part, en raison de la qualité insuffisante de la traduction lors de l'audition du 18 mai 2015.</w:t>
      </w:r>
    </w:p>
    <w:p>
      <w:r>
        <w:rPr>
          <w:b/>
        </w:rPr>
        <w:t>E. 2.1</w:t>
      </w:r>
    </w:p>
    <w:p>
      <w:r>
        <w:t>Le droit d'être entendu, ancré à l'art. 29 al. 2 Cst, a été concrétisé en droit administratif par les art. 29 ss PA. Selon ces dispositions, 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(ATF 133 I 270 ; ATAF 2010/53 consid. 13.1 ; Pierre Moor, Droit administratif, vol. II, troisième édition, Berne 2011, p. 311 ss).</w:t>
      </w:r>
    </w:p>
    <w:p>
      <w:r>
        <w:rPr>
          <w:b/>
        </w:rPr>
        <w:t>E. 2.2</w:t>
      </w:r>
    </w:p>
    <w:p>
      <w:r>
        <w:t>Il ressort du procès-verbal de l'audition (pv.) du 11 novembre 2014 que l'intéressé s'est interrompu et a perdu brièvement la parole (« GS stockt und verliert kurz Sprache », cf. 7. 01, p. 8). Après cet épisode, il a repris son récit, là même où il s'était arrêté de parler, décrivant les événements vécus alors qu'il se trouvait au domicile de sa belle-mère. La cohérence et la logique de son discours amènent à conclure qu'il n'a pas été empêché de présenter ses motifs d'asile de manière complète et précise. Par la suite, du reste, une dizaine de questions lui ont été posées, sans qu'un indice selon lequel il n'aurait pas été en mesure de s'exprimer, puisse être décelé. Puis, à la fin de l'audition, il a confirmé, par sa signature, que le procès-verbal correspondait à ses déclarations et à la vérité et que celles-ci lui avaient été traduites dans une langue qui lui était compréhensible. Finalement, lors de sa deuxième audition, alors qu'il en aurait eu la possibilité, il n'a pas prétendu que son aphonie aurait constitué un obstacle à la cohérence de ses propos. Cet argument, avancé au stade du recours, apparaît avoir été amené pour les besoin de sa cause. En définitive, le recourant s'est exprimé librement lors de son audition du 11 novembre 2014 et rien ne s'opposait à ce que le SEM prenne en considération les déclarations faites à cette occasion dans le cadre de l'instruction de la demande d'asile de l'intéressé.</w:t>
      </w:r>
    </w:p>
    <w:p>
      <w:r>
        <w:rPr>
          <w:b/>
        </w:rPr>
        <w:t>E. 2.3</w:t>
      </w:r>
    </w:p>
    <w:p>
      <w:r>
        <w:t>S'agissant de la traduction des déclarations faites lors de l'audition du 18 mai 2015, elle aurait été mauvaise. Selon l'intéressé, les fautes de grammaire et de syntaxe contenues dans le procès-verbal en seraient la preuve. Toutefois, la fiabilité d'un procès-verbal contenant de telles fautes ne saurait être remise valablement en cause pour ces motifs, qui constituent des informalités ne touchant pas la qualité et les compétences de l'interprète. Par ailleurs, l'exemple choisi par le recourant n'est pas pertinent. En effet, c'est bien lui-même qui a prononcé le mot « highway », ce qui a amené l'interprète à préciser à l'attention de l'auditeur ce terme (route principale). Finalement, le recourant n'indique nullement en quoi des erreurs de traduction commises auraient eu une influence sur l'appréciation de la vraisemblance ou non de ses déclarations.</w:t>
      </w:r>
    </w:p>
    <w:p>
      <w:r>
        <w:rPr>
          <w:b/>
        </w:rPr>
        <w:t>E. 2.4</w:t>
      </w:r>
    </w:p>
    <w:p>
      <w:r>
        <w:t>Au vu ce qui précède, l'intéressé ayant pu s'exprimer librement sur ses motifs d'asile sans qu'il ne puisse être constaté un vice de procédure, il ne saurait se prévaloir d'aucune violation de son droit d'être entendu. Dès lors, aucune des mesures d'instruction requises n'est justifiée. Les griefs d'ordre formel du recourant étant rejetés, il y a lieu de déterminer s'il remplit les conditions mises à la reconnaissance de la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En l'occurrence, l'intéressé allègue à l'appui de sa demande d'asile qu'il serait soumis à des persécutions ou qu'il craint de l'être, en raison de son appartenance à la religion musulmane et de ses opinions politiques, à savoir le soutien à un candidat aux élections du 29 mars 2014 au Sri Lanka.</w:t>
      </w:r>
    </w:p>
    <w:p>
      <w:r>
        <w:rPr>
          <w:b/>
        </w:rPr>
        <w:t>E. 4.2</w:t>
      </w:r>
    </w:p>
    <w:p>
      <w:r>
        <w:t>A l'instar du SEM, le Tribunal juge que les déclarations de l'intéressé ne répondent pas aux conditions de vraisemblance requises par l'art. 7 LAsi. En effet, l'affirmation selon laquelle il aurait séjourné trois à quatre jours avec sa femme et ses enfants au domicile de sa belle-mère après avoir été menacé par un homme armé d'un pistolet durant la nuit (cf. pv. du 11 novembre 2014, p. 8, pt. 7. 01) est en contradiction avec le fait qu'il serait resté seul à son domicile après cet événement (cf. pv. du 18 mai 2015, réponse à la question 95, p. 13). Par ailleurs, s'agissant toujours de cet épisode, il a d'abord clairement mentionné que son épouse avait ouvert la porte aux agresseurs avant de déclarer de manière toute aussi nette que c'était lui qui l'avait ouverte (cf. pv du 10 mai 2015, réponses aux questions 45 et 66, p. 6 et 10). De plus, sa description de la fuite de la maison lors de la nuit du 31 mars 2014 est irréaliste (cf. pv. du 18 mai 2015, réponses aux questions 115 et 116, p. 14). En effet, il est inimaginable que l'intéressé laisse la porte d'entrée ouverte après avoir déjà fait l'objet de trois attaques. Ensuite, alors que ses agresseurs étaient déjà entrés dans la maison, il aurait dû prendre immédiatement la fuite et n'aurait jamais eu le temps de prendre les enfants. En outre, il a déclaré que ces gens ont essayé de les battre, mais qu'ils avaient réussi à leur échapper, avant d'affirmer que son épouse avait reçu un coup de pied et que les habits de celle-ci avaient été déchirés (cf. pv. du 18 mai 2015, réponses aux questions 115, 116, 122, 165 et 166, p. 14, 15 et 19). Enfin, il n'est pas crédible que toute la famille ait pu s'échapper dans les circonstances décrites, compte tenu de la grossesse (...) de son épouse. Le Tribunal ne s'explique pas pourquoi l'intéressé, lors de son audition du 11 novembre 2014, déclare avoir appris par un collègue qu'il se trouvait sur une liste de personnes recherchées, alors qu'il se cachait au domicile de sa belle-mère (cf. pv. du 11 novembre 2014, p. 8, pt. 7. 01), un fait qu'il a totalement occulté lors de son audition sur les motifs du 18 mai 2015. Le Tribunal ne comprend pas non plus pourquoi le recourant a déclaré avoir été recherché par ses poursuivants jusqu'au domicile de sa belle-mère (cf. pv. du 18 mai 2015, réponse à la question 45, p. 7), alors qu'il n'en a fait nullement mention au cours de son audition du 11 novembre 2014. Le Tribunal considère, enfin, que si l'intéressé s'était réellement senti menacé par ces personnes, il n'aurait jamais pris le risque de rester encore quatre mois chez sa soeur avant de quitter son pays d'origine, d'autant que tout le monde savait qu'il vivait chez elle (cf. pv. du 18 mai 2015, réponse à la question 162, p. 19).</w:t>
      </w:r>
    </w:p>
    <w:p>
      <w:r>
        <w:rPr>
          <w:b/>
        </w:rPr>
        <w:t>E. 5</w:t>
      </w:r>
    </w:p>
    <w:p>
      <w:r>
        <w:t>Au vu de ce qui précède, les éléments plaidant pour l'invraisemblance des faits allégués l'emportent clairement sur ceux qui parlent en faveur de la vraisemblance, de sorte que les motifs d'asile antérieurs au départ du Sri Lanka ne remplissent pas les exigences de haute probabilité posées par l'art. 7 LAsi.</w:t>
      </w:r>
    </w:p>
    <w:p>
      <w:r>
        <w:rPr>
          <w:b/>
        </w:rPr>
        <w:t>E. 6.1</w:t>
      </w:r>
    </w:p>
    <w:p>
      <w:r>
        <w:t>Il reste à examiner si l'intéressé, en cas de retour au Sri Lanka, pourrait craindre d'être exposé à de sérieux préjudices, en raison de son appartenance à l'ethnie tamoule et à la religion musulmane.</w:t>
      </w:r>
    </w:p>
    <w:p>
      <w:r>
        <w:rPr>
          <w:b/>
        </w:rPr>
        <w:t>E. 6.1.1</w:t>
      </w:r>
    </w:p>
    <w:p>
      <w:r>
        <w:t>En l'espèce, le recourant n'a jamais fait valoir qu'il entretiendrait ou aurait entretenu des contacts avec les « Liberation Tigers of Tamil Eelam » (LTTE). De même, il n'a allégué aucune activité en faveur de ce mouvement depuis qu'il a quitté son pays d'origine. Certes, il n'est actuellement pas en possession d'un document de voyage valable lui permettant de retourner dans son pays d'origine, ce qui pourrait attirer l'attention des autorités. En effet, la sortie du Sri Lanka sans passeport constitue selon les dispositions légales sri-lankaises (cf. art. 34 ss. de l' «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Par ailleurs, il ne ressort pas du dossier que l'intéressé présenterait des marques de blessures susceptibles de démontrer sa participation à des combats en faveur des LTTE durant la guerre civile. Finalement, le recourant a quitté son pays d'origine en octobre 2014, ce qui pourrait susciter l'intérêt des autorités. Toutefois, compte tenu du fait qu'il n'a jamais exercé un rôle particulier sur le plan politique ou religieux (cf. pv. d'audition du 11 novembre 2014, pt. 7.02 p. 9) et surtout qu'il n'a jamais eu de lien avec les LTTE, il peut être exclu que son nom figure sur une « Stop List » utilisée par les autorités sri-lankaises à l'aéroport de Colombo, sur laquelle sont répertoriés les noms de personnes ayant une relation avec les LTTE.</w:t>
      </w:r>
    </w:p>
    <w:p>
      <w:r>
        <w:rPr>
          <w:b/>
        </w:rPr>
        <w:t>E. 6.1.2</w:t>
      </w:r>
    </w:p>
    <w:p>
      <w:r>
        <w:t>S'agissant de son appartenance à la religion musulmane, il y a lieu de constater qu'aucun acte de violence en relation avec un contexte religieux n'a été enregistré depuis 2015 au Sri Lanka. Par ailleurs, depuis l'élection de Maithripala Sirisena au poste de Président en janvier 2015, le gouvernement sri-lankais a notamment approuvé un projet de loi visant à sanctionner les discours de haine liés à l'appartenance ethnique et religieuse, et visant à exacerber les tensions. Cette volonté de combattre les actes délictueux contre les minorités religieuses a été concrétisée notamment par l'arrestation de leaders du groupe « Bodu Bala Sena » (cf. SEM, Focus Sri Lanka, Lagebild, 5 juillet 2016, Religionsfreiheit, p. 31 et également http://lettreasimep.blogs.lacroix.com/sri-lanka-une-loi-pour-sanctionner-les-discours-de-haine-religieuse, consulté le 3 août 2016).</w:t>
      </w:r>
    </w:p>
    <w:p>
      <w:r>
        <w:rPr>
          <w:b/>
        </w:rPr>
        <w:t>E. 6.1.3</w:t>
      </w:r>
    </w:p>
    <w:p>
      <w:r>
        <w:t>Finalement, l'intéressé allègue au stade du recours qu'ayant des moyens financiers conséquents au Sri Lanka, à l'instar de son oncle qui aurait pu débourser en 24 heures une somme équivalente à six fois le salaire mensuel moyen sri-lankais, il serait exposé en cas de retour à des représailles ou à des pressions violentes pour ce motif. Toutefois, à aucun moment, il n'a déclaré qu'un membre de sa famille, depuis son départ du pays, aurait été victime de tels agissements en raison de leur fortune. Il n'allègue aucun motif pour lequel il serait plus visé que le reste de sa famille.</w:t>
      </w:r>
    </w:p>
    <w:p>
      <w:r>
        <w:rPr>
          <w:b/>
        </w:rPr>
        <w:t>E. 6.2</w:t>
      </w:r>
    </w:p>
    <w:p>
      <w:r>
        <w:t>Au vu de ce qui précède, le recourant ne peut pas se prévaloir d'une crainte fondée de sérieux préjudices, au sens de l'art. 3 LAsi, en cas de retour dans son pays d'origine.</w:t>
      </w:r>
    </w:p>
    <w:p>
      <w:r>
        <w:rPr>
          <w:b/>
        </w:rPr>
        <w:t>E. 7</w:t>
      </w:r>
    </w:p>
    <w:p>
      <w:r>
        <w:t>Le recourant n'ayant rendu vraisemblables ni les raisons à l'origine de son départ du Sri Lanka, ni l'existence de motifs subjectifs postérieurs déterminants pour la reconnaissance de la qualité de réfugié, son recours en matière d'asile doit être rejeté.</w:t>
      </w:r>
    </w:p>
    <w:p>
      <w:r>
        <w:rPr>
          <w:b/>
        </w:rPr>
        <w:t>E. 8</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9.1</w:t>
      </w:r>
    </w:p>
    <w:p>
      <w:r>
        <w:t>L'exécution du renvoi est ordonnée si elle est licite, possible et peut raisonnablement être exigée. Si ces conditions ne sont pas réunies, l'admission provisoire doit être prononcée.</w:t>
      </w:r>
    </w:p>
    <w:p>
      <w:r>
        <w:rPr>
          <w:b/>
        </w:rPr>
        <w:t>E. 9.2</w:t>
      </w:r>
    </w:p>
    <w:p>
      <w:r>
        <w:t>L'exécution n'est pas licite lorsque le renvoi de l'étranger dans son Etat d'origine ou de provenance ou dans un Etat tiers est contraire aux engagements de la Suisse relevant du droit international (art. 83 al. 3 LEtr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9.4</w:t>
      </w:r>
    </w:p>
    <w:p>
      <w:r>
        <w:t>L'exécution n'est pas possible lorsque l'étranger ne peut pas quitter la Suisse pour son Etat d'origine, son Etat de provenance ou un Etat tiers, ni être renvoyé dans un de ces Etats (art. 83 al. 2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10.3.2</w:t>
      </w:r>
    </w:p>
    <w:p>
      <w:r>
        <w:t>En l'occurrence, le Tribunal constate que le recourant n'a pas établi ni qu'il a le profil d'une personne pouvant intéresser les autorités sri- 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du TAF E-1866/2015 du 15 juillet 2016 consid. 12. 2).</w:t>
      </w:r>
    </w:p>
    <w:p>
      <w:r>
        <w:rPr>
          <w:b/>
        </w:rPr>
        <w:t>E. 10.4</w:t>
      </w:r>
    </w:p>
    <w:p>
      <w:r>
        <w:t>Ainsi, l'exécution du renvoi du recourant,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11.2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TAF E-1866/2015 du 15 juillet 2016 consid. 13).</w:t>
      </w:r>
    </w:p>
    <w:p>
      <w:r>
        <w:rPr>
          <w:b/>
        </w:rPr>
        <w:t>E. 11.3</w:t>
      </w:r>
    </w:p>
    <w:p>
      <w:r>
        <w:t>En outre, il ne ressort du dossier aucun élément dont on pourrait inférer que l'exécution du renvoi impliquerait une mise en danger concrète du recourant. Il est né à Colombo et a toujours vécu à B._______ dans le district de C._______ où, contrairement à la région du Vanni, l'exécution du renvoi des requérants déboutés est en principe raisonnablement exigible. En l'occurrence, le recourant a quitté sa région d'origine en octobre 2014. Il est jeune, au bénéfice d'une expérience professionnelle exercée durant plusieurs années dans le (...) et n'a pas allégué de problème de santé particulier. Il dispose dans son pays également d'un réseau familial (mère, soeur, oncle et tantes) et social, sur lequel il pourra compter à son retour, ayant notamment bénéficié de l'aide financière de sa mère, de son beau-frère et d'autres membres de sa famille lors de son voyage en Suisse (cf. pv. du 11 novembre 2014, pt. 5.02, p.7).</w:t>
      </w:r>
    </w:p>
    <w:p>
      <w:r>
        <w:rPr>
          <w:b/>
        </w:rPr>
        <w:t>E. 11.4</w:t>
      </w:r>
    </w:p>
    <w:p>
      <w:r>
        <w:t>Pour ces motifs, l'exécution du renvoi doit être considérée comme raisonnablement exigible.</w:t>
      </w:r>
    </w:p>
    <w:p>
      <w:r>
        <w:rPr>
          <w:b/>
        </w:rPr>
        <w:t>E. 12</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13</w:t>
      </w:r>
    </w:p>
    <w:p>
      <w:r>
        <w:t>Il s'ensuit que le recours, en tant qu'il conteste la décision de renvoi et son exécution, doit être également rejeté.</w:t>
      </w:r>
    </w:p>
    <w:p>
      <w:r>
        <w:rPr>
          <w:b/>
        </w:rPr>
        <w:t>E. 14</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