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D-939/2024 vom 16. Februar 2024</w:t>
      </w:r>
    </w:p>
    <w:p>
      <w:r>
        <w:t>Bundesverwaltungsgericht, 2024-02-16, DE</w:t>
      </w:r>
    </w:p>
    <w:p>
      <w:r>
        <w:rPr>
          <w:b/>
        </w:rPr>
        <w:t xml:space="preserve">Quelle: </w:t>
      </w:r>
      <w:r>
        <w:t>https://mcp.opencaselaw.ch/entscheid/bvger_D-939_2024</w:t>
      </w:r>
    </w:p>
    <w:p>
      <w:r>
        <w:t>FR: TAF D-939/2024 du 16 février 2024</w:t>
      </w:r>
    </w:p>
    <w:p>
      <w:r>
        <w:t>IT: TAF D-939/2024 del 16 febbraio 2024</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w:t>
      </w:r>
    </w:p>
    <w:p>
      <w:r>
        <w:t>D-939/2024 Seite 7 SR 0.142.30) sowie des Zusatzprotokolls der FK vom 31. Januar 1967 (SR 0.142.301) ist, wobei Frankreich nach Auffassung der Schweiz seinen diesbezüglichen völkerrechtlichen Verpflichtungen nachkommt, dass die Schweiz gleichzeitig davon ausgeht, Frankreich anerkenne und schütze die Rechte, die sich für Schutzsuchende aus den Richtlinien des Europäischen Parlaments und des Rates 2013/32/EU vom 26. Juni 2013 zu gemeinsamen Verfahren für die Zuerkennung und Aberkennung des in- ternationalen Schutzes (sog. Verfahrensrichtlinie) und 2013/33/EU vom 26. Juni 2013 zur Festlegung von Normen für die Aufnahme von Personen, die internationalen Schutz beantragen (sog. Aufnahmerichtlinie), ergeben, dass vom Beschwerdeführer nichts eingebracht wird, was zu einem ande- ren Schluss führen könnte, dass zunächst nichts dafür spricht, er wäre im Falle einer Rückführung nach Frankreich tatsächlich ernsthaft – im Sinne eines "real risk" – von ei- ner Kettenabschiebung in einen Staat bedroht, wo ihm eine menschen- rechtswidrige Behandlung drohen würde, dass auch kein Anlass zur Annahme besteht, er wäre in Frankreich gefähr- det, da sich seine Vorbringen über eine angebliche Bedrohungslage von- seiten vietnamesischer Kräfte in blossen Behauptungen erschöpfen, dass das SEM in dieser Hinsicht auch zu Recht auf die französischen Po- lizei- und Justizbehörden verwiesen hat, an die sich der Beschwerdeführer bei tatsächlichem Bedarf wenden kann, zumal ohne weiteres von deren Schutzfähigkeit und -willigkeit auszugehen ist, dass in vorliegender Sache auch keine rechtserhebliche medizinische Problemstellung erkennbar ist, da sich weder aus den Akten noch den Be- schwerdevorbringen Hinweise auf das Vorliegen einer Erkrankungslage er- geben, deren Behandlung nicht auch in Frankreich erfolgen könnte, dass schliesslich ohne weiteres davon ausgegangen werden darf, der Be- schwerdeführer sei durchaus in der Lage, gegenüber den in Frankreich zu- ständigen Behörden seine Rechte wahrzunehmen, von welchen er im Be- darfsfall auch die notwendige Unterstützung erhalten werde, dass diesen Erwägungen gemäss kein Grund für einen Selbsteintritt auf das Asylgesuch respektive für eine Anwendung der Ermessensklausel nach Art. 17 Abs. 1 Dublin-III-VO ersichtlich ist,</w:t>
      </w:r>
    </w:p>
    <w:p>
      <w:r>
        <w:t>D-939/2024 Seite 8 dass sich das SEM zudem aufgrund der Aktenlage auch auf eine summa- rische Würdigung der vorliegenden Sache unter dem Aspekt von Art. 29a Abs. 3 AsylV 1 beschränken durfte (vgl. BVGE 2015/9), dass nach dem Gesagten der Nichteintretensentscheid in Anwendung von Art. 31a Abs. 1 Bst. b AsylG in keinem Punkt zu bemängeln ist, dass die Anordnung der Wegweisung nach Frankreich der Systematik des Dublin-Verfahrens entspricht und im Einklang mit der Bestimmung von Art. 44 AsylG steht, dass in diesem Zusammenhang festzuhalten bleibt, dass im Rahmen des Dublin-Verfahrens systembedingt kein Raum bleibt für die vom Beschwer- deführer beantragte Ersatzmassnahme für den Wegweisungsvollzug (ge- mäss Art. 44 AsylG i.V.m. Art. 83 Abs. 1–4 AIG [SR 142.20]), sondern eine entsprechende Prüfung soweit notwendig bereits im Rahmen des Nichtein- tretensentscheides stattfinden muss (vgl. dazu vorstehende Erwägungen), weshalb auf das Eventualbegehren um Anordnung einer vorläufigen Auf- nahme nicht einzutreten ist, dass nach vorstehenden Erwägungen die angefochtene Verfügung zu be- stätigen und die eingereichte Beschwerde, soweit darauf einzutreten ist, als offensichtlich unbegründet abzuweisen ist, dass mit vorliegendem Urteil in der Hauptsache die Gesuche um Gewäh- rung der aufschiebenden Wirkung (nach Art. 107a AsylG) und um Befrei- ung von der Kostenvorschusspflicht (gemäss Art. 63 Abs. 4 VwVG) gegen- standslos geworden sind, dass die Gesuche um Gewährung der unentgeltlichen Prozessführung (im Sinne von Art. 65 Abs. 1 VwVG) und amtliche Verbeiständung (nach Art. 102m Abs. 1 und 4 AsylG) abzuweisen sind, da sich die Beschwerde nach dem Gesagten als von Anfang an aussichtslos erwiesen hat, dass daher die Kosten des Verfahrens, welche praxisgemäss auf Fr. 750.– zu bestimmen sind, dem Beschwerdeführer aufzuerlegen sind (Art. 63 Abs. 1 VwVG; Art. 1–3 des Reglements vom 21. Februar 2008 über die Kosten und Entschädigungen vor dem Bundesverwaltungsgericht [VGKE, SR 173.320.2]). (Dispositiv nächste Seite)</w:t>
      </w:r>
    </w:p>
    <w:p>
      <w:r>
        <w:t>D-939/2024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