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D-9393/2025 vom 28. Oktober 2025</w:t>
      </w:r>
    </w:p>
    <w:p>
      <w:r>
        <w:t>Bundesverwaltungsgericht, 2025-10-28, DE</w:t>
      </w:r>
    </w:p>
    <w:p>
      <w:r>
        <w:rPr>
          <w:b/>
        </w:rPr>
        <w:t xml:space="preserve">Quelle: </w:t>
      </w:r>
      <w:r>
        <w:t>https://mcp.opencaselaw.ch/entscheid/bvger_D-9393_2025_d20251028</w:t>
      </w:r>
    </w:p>
    <w:p>
      <w:r>
        <w:t>FR: TAF D-9393/2025 du 28 octobre 2025</w:t>
      </w:r>
    </w:p>
    <w:p>
      <w:r>
        <w:t>IT: TAF D-9393/2025 del 28 ottobre 2025</w:t>
      </w:r>
    </w:p>
    <w:p>
      <w:pPr>
        <w:pStyle w:val="Heading2"/>
      </w:pPr>
      <w:r>
        <w:t>Regeste</w:t>
      </w:r>
    </w:p>
    <w:p>
      <w:r>
        <w:t>Asyl und Wegweisung | Asyl und Wegweisung; Verfügung des SEM vom 28. Oktober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 zur Beschwerdeführung</w:t>
      </w:r>
    </w:p>
    <w:p>
      <w:r>
        <w:t>D-9393/2025 Seite 4 legitimiert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eingehender Prüfung der Akten ist festzustellen, dass die Vor- bringen der Beschwerdeführerin die Anforderungen an die Glaubhaftigkeit gemäss Art. 7 AsylG respektive Voraussetzungen der Flüchtlingseigen- schaft gemäss Art. 3 AsylG nicht erfüllen. In tatsächlicher und rechtlicher Hinsicht ist den Erwägungen der Vorinstanz zu folgen; auf diese kann ver- wiesen werden (vgl. angefochtene Verfügung, S. 6 ff.). Die vorinstanzliche</w:t>
      </w:r>
    </w:p>
    <w:p>
      <w:r>
        <w:t>D-9393/2025 Seite 5 Schlussfolgerung ist nicht zu beanstanden. Die Beschwerdevorbringen sind nicht geeignet, zu einer von der Vorinstanz abweichenden Betrach- tungsweise zu gelangen (vgl. Beschwerde, S. 3 ff.).</w:t>
      </w:r>
    </w:p>
    <w:p>
      <w:r>
        <w:rPr>
          <w:b/>
        </w:rPr>
        <w:t>E. 4.4.1</w:t>
      </w:r>
    </w:p>
    <w:p>
      <w:r>
        <w:t>Hinsichtlich der behaupteten Strafverfahren wegen Propaganda für eine Terrororganisation (Art. 7 Abs. 2 des türkischen Anti-Terrorgesetzes [ATG]) und Präsidentenbeleidigung (Art. 299 tStGB) hat die Vorinstanz die Relevanz zutreffend anhand der Kriterien des Referenzurteils des BVGer E-4103/2024 vom 8. November 2024 geprüft. Gegen die Beschwerdefüh- rerin wurden Vorführbefehle zwecks Einvernahme ausgestellt; ein rechts- kräftiges Urteil liegt indes noch nicht vor. Nach der bundesverwaltungsge- richtlichen Praxis erreichen derartige Verfahren indes selbst im Verurtei- lungsfall in der Regel nicht den Grad der beachtlichen Wahrscheinlichkeit einer Verurteilung zu einer unbedingten Freiheitsstrafe beziehungsweise einer flüchtlingsrechtlich relevanten, mit einem Politmalus behafteten Ver- folgung (vgl. Referenzurteil des BVGer E-4103/2024 vom 8. November 2024 E. 8.1 und 8.4.3 f.). Vorliegend ist die Beschwerdeführerin sodann strafrechtlich unbescholten und verfügt auch nicht über ein geschärftes po- litisches Profil; ihre Aktivitäten beschränkten sich auf die Teilnahme an Newroz-Feiern und das Teilen von Inhalten Dritter auf Sozialen Medien (vgl. SEM-act. 20/14 F74; SEM-act. 40/12 F60). Selbst im Falle einer Ver- urteilung wäre in ihrem Fall daher mit einer bedingten Strafe oder einer Aufschiebung der Urteilsverkündung zu rechnen (vgl. Referenzurteil des BVGer E-4103/2024 vom 8. November 2024 E. 8.7.1 f.). Der Umstand, dass gegen die Beschwerdeführerin ein Vorführbefehl erlassen wurde, än- dert daran nichts, zumal solche Befehle – wie auch im vorliegenden Fall aus dem Dokument ersichtlich – primär der Einvernahme dienen und die Betroffenen danach in der Regel wieder auf freien Fuss gesetzt werden (vgl. Urteile des BVGer D-994/2024 vom 10. April 2024 E. 6.3; E-1472/2024 vom 12. April 2024 E. 6.2). Eine flüchtlingsrechtlich relevante Furcht vor Verfolgung lässt sich daraus nicht ableiten.</w:t>
      </w:r>
    </w:p>
    <w:p>
      <w:r>
        <w:rPr>
          <w:b/>
        </w:rPr>
        <w:t>E. 4.4.2</w:t>
      </w:r>
    </w:p>
    <w:p>
      <w:r>
        <w:t>Die von der Beschwerdeführerin weiter als fluchtauslösend geschil- derten Ereignisse, namentlich die Belästigung am Arbeitsplatz in Istanbul durch eine Reinigungskraft, wurden von der Vorinstanz ebenfalls korrekt gewürdigt. Es handelte sich hierbei um Übergriffe durch Dritte. Hierbei greift das Subsidiaritätsprinzip, wonach internationaler Schutz erst bean- sprucht werden kann, wenn die Schutzmöglichkeiten im Heimatstaat er- folglos ausgeschöpft wurden (vgl. Referenzurteil des BVGer E-1948/2018 vom 12. Juni 2018 E. 5.2.2). Die Ausführungen der Beschwerdeführerin betreffend die Inanspruchnahme staatlichen Schutzes sind indes</w:t>
      </w:r>
    </w:p>
    <w:p>
      <w:r>
        <w:t>D-9393/2025 Seite 6 widersprüchlich (erst blosse Drohung mit Anzeige gegenüber dem Vorge- setzten, später angeblicher Gang zur Polizei; vgl. SEM-act. 20/14 F65 ge- genüber SEM-act. 40/12 F44). Darüber hinaus wäre es ihr selbst bei einer Untätigkeit der Polizei zuzumuten gewesen, sich an die Staatsanwaltschaft oder eine höhere Instanz zu wenden; die blosse subjektive Annahme der Aussichtslosigkeit entbindet nicht von dieser Pflicht (vgl. Referenzurteil des BVGer E-1948/2018 vom 12. Juni 2018 E. 5.3). Da die Beschwerdeführerin dies unterliess, hat sie eine Schutzunwilligkeit der grundsätzlich schutzfä- higen türkischen Behörden nicht glaubhaft gemacht. Unabhängig davon wäre der Beschwerdeführerin eine innerstaatliche Fluchtalternative offen gestanden.</w:t>
      </w:r>
    </w:p>
    <w:p>
      <w:r>
        <w:rPr>
          <w:b/>
        </w:rPr>
        <w:t>E. 4.4.3</w:t>
      </w:r>
    </w:p>
    <w:p>
      <w:r>
        <w:t>Auch das Vorbringen der Beschwerdeführerin bezüglich ihrer Aktivi- täten auf den sozialen Medien und der daraus angeblich resultierenden Bedrohungslage vermag nicht zu überzeugen. Die Vorinstanz hat zu Recht darauf hingewiesen, dass die inkriminierten Beiträge in einem engen zeit- lichen Zusammenhang mit der Ausreise und dem Asylgesuch stehen. Ein solches Verhalten erweckt den Eindruck, dass subjektive Nachflucht- gründe konstruiert wurden, um ein asylrechtlich relevantes Profil zu be- gründen. Ein solches Vorgehen ist als rechtsmissbräuchlich zu werten und verdient keinen flüchtlingsrechtlichen Schutz (vgl. Referenzurteil des BVGer E-4103/2024 vom 8. November 2024 E. 8.7.5). Zudem erreichen die geltend gemachten Bedrohungen durch anonyme Dritte auf Social Me- dia nicht die Schwelle einer asylrelevanten Verfolgung. Dass es sich bei den anonymen Verfassern der Drohungen tatsächlich um staatliche Ak- teure handelt, stellt sodann eine blosse Vermutung der Beschwerdeführe- rin dar (vgl. SEM-act. 40/12 F27), die eine flüchtlingsrechtlich relevante Verfolgung nicht zu belegen vermag.</w:t>
      </w:r>
    </w:p>
    <w:p>
      <w:r>
        <w:rPr>
          <w:b/>
        </w:rPr>
        <w:t>E. 4.4.4</w:t>
      </w:r>
    </w:p>
    <w:p>
      <w:r>
        <w:t>Sofern die Beschwerdeführerin schliesslich vorbringt, die Vorinstanz habe die Glaubhaftigkeit ihrer Vorbringen zu Unrecht verneint und ihre Schilderungen seien detailliert und emotionsgeladen gewesen, vermag sie auch damit nicht durchzudringen. Eine Durchsicht der Akten bestätigt, dass die Aussagen in wesentlichen Punkten widersprüchlich und vage blieben. So machte die Beschwerdeführerin in der ersten Anhörung geltend, die Hausdurchsuchung vom (…) sei erfolgt, weil aufgrund eines Telefonats mit ihrer der Guerilla beigetretenen Freundin ein «Signal» um ihr Haus aufge- fangen worden sei (vgl. SEM-act. 20/14 F65). In der zweiten Anhörung hin- gegen gab sie auf Vorhalt an, sie habe alle Fotos und Bücher vernichtet, weshalb die Freundin kein Problem hätte darstellen sollen; vielleicht sei sie selbst der Grund gewesen oder die Soldaten hätten lediglich behauptet, es habe ein Signal gegeben (vgl. SEM-act. 40/12 F61). Diese signifikanten</w:t>
      </w:r>
    </w:p>
    <w:p>
      <w:r>
        <w:t>D-9393/2025 Seite 7 Abweichungen bezüglich des eigentlichen Auslösers der angeblichen zent- ralen Verfolgungshandlung lassen sich nicht mit dem Zeitablauf erklären. Auch hinsichtlich der weiteren Umstände der Hausdurchsuchung ver- strickte sich die Beschwerdeführerin in Ungereimtheiten. Während sie in der ersten Anhörung ausführte, die Soldaten hätten beim Betreten des Hauses geschrien «Öffnet die Tür!» und ihren Bruder, der noch schlief, als «Idioten» beschimpft (vgl. SEM-act. 20/14 F65), schilderte sie den Ablauf in der zweiten Anhörung abweichend, indem sie angab, sie hätten die Sol- daten bereits durch das Fenster gesehen und seien alle ins Wohnzimmer gezwungen worden, bevor die Soldaten ins Zimmer des Bruders gegangen seien (vgl. SEM-act. 40/12 F49). Diese Widersprüche betreffen den Kern des behaupteten Erlebnisses und lassen berechtigte Zweifel an der Tat- sächlichkeit der Ereignisse aufkommen. Die Vorinstanz durfte daher zu Recht davon ausgehen, dass diese Ereignisse nicht glaubhaft gemacht wurden.</w:t>
      </w:r>
    </w:p>
    <w:p>
      <w:r>
        <w:rPr>
          <w:b/>
        </w:rPr>
        <w:t>E. 4.4.5</w:t>
      </w:r>
    </w:p>
    <w:p>
      <w:r>
        <w:t>Was schliesslich die generell behaupteten erlittenen Nachteile oder Diskriminierungen aufgrund der Ethnie und Herkunft der Beschwerdefüh- rerin anbelangt (Ausgrenzung in der Schule, «Tochter des Halil», schlech- tere Behandlung am Arbeitsplatz), hat die Vorinstanz zutreffend festge- stellt, dass es sich bei diesen nicht um ernsthafte Nachteile im Sinne des Asylgesetzes handelt, die einen Verbleib im Heimatland verunmöglicht oder unzumutbar erschwert hätten. Die Beschwerdeführerin konnte in der Türkei bis zu ihrer Ausreise trotz der geschilderten Schikanen ein geregel- tes Leben führen, das Gymnasium mit gesundheitlichem Schwerpunkt ab- schliessen und eine Arbeitsstelle in Istanbul antreten (vgl. SEM-act. 20/14 F36 ff.). Die von der Beschwerdeführerin konkret geltend gemachten Vor- kommnisse gehen in ihrer Intensität nicht über die Nachteile hinaus, wel- che weite Teile der kurdischen Bevölkerung in der Türkei in ähnlicher Weise treffen können. Im Übrigen stellt das Bundesverwaltungsgericht in konstan- ter Praxis sehr hohe Anforderungen an die Bejahung einer Kollektivverfol- gung, die im Fall der Kurden – auch unter Berücksichtigung der aktuellen politischen Entwicklungen in der Türkei – nicht erfüllt sind (vgl. zum Ganzen das Referenzurteil des BVGer E-4103/2024 vom 8. November 2024). Die von der Beschwerdeführerin konkret geltend gemachten Vorkommnisse er- reichen, einzeln wie auch in ihrer Gesamtheit betrachtet, nicht die für die Annahme einer asylrelevanten Verfolgung erforderliche Intensität im Sinne von Art. 3 AsylG.</w:t>
      </w:r>
    </w:p>
    <w:p>
      <w:r>
        <w:rPr>
          <w:b/>
        </w:rPr>
        <w:t>E. 4.5</w:t>
      </w:r>
    </w:p>
    <w:p>
      <w:r>
        <w:t>Zusammenfassend ist festzuhalten, dass die zentralen Vorbringen des Beschwerdeführers die Anforderungen an die Glaubhaftigkeit gemäss Art. 7 AsylG nicht erfüllen. Sodann liegen keine konkreten Hinweise darauf</w:t>
      </w:r>
    </w:p>
    <w:p>
      <w:r>
        <w:t>D-9393/2025 Seite 8 vor, dass die Beschwerdeführerin einer asylbeachtlichen Verfolgung oder einer entsprechenden Verfolgungsgefahr ausgesetzt war oder im Falle ih- rer Rückkehr in die Türkei ernsthafte Nachteile im Sinne von Art. 3 Abs. 2 AsylG zu gewärtigen hätte. Folglich hat die Vorinstanz zu Recht die Flücht- lingseigenschaft verneint und das Asylgesuch abgelehnt.</w:t>
      </w:r>
    </w:p>
    <w:p>
      <w:r>
        <w:rPr>
          <w:b/>
        </w:rPr>
        <w:t>E. 5</w:t>
      </w:r>
    </w:p>
    <w:p>
      <w:r>
        <w:t>Lehnt das SEM das Asylgesuch ab oder tritt es darauf nicht ein, so verfügt es in der Regel die Wegweisung aus der Schweiz und ordnet den Vollzug an (Art. 44 AsylG). Die Beschwerdeführerin verfügt insbesondere weder über eine ausländerrechtliche Aufenthaltsbewilligung noch über einen An- 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der Beschwerdeführerin nicht gelungen ist, eine asylrechtlich erheb- liche Gefährdung nachzuweisen oder glaubhaft zu machen, findet der in Art. 5 AsylG verankerte Grundsatz der Nichtrückschiebung im vorliegen- den Verfahren keine Anwendung. Eine Rückkehr der Beschwerdeführerin in den Heimatstaat ist demnach unter dem Aspekt von Art. 5 AsylG recht- mässig. Sodann ergeben sich weder aus den Aussagen der Beschwerde- führerin noch aus den Akten Anhaltspunkte dafür, dass sie für den Fall ei- ner Ausschaffung in den Heimatstaat dort mit beachtlicher Wahrscheinlich- keit einer nach Art. 3 EMRK oder Art. 1 des Übereinkommens vom 10. De- zember 1984 gegen Folter und andere grausame, unmenschliche oder er- niedrigende Behandlung oder Strafe (FoK, SR 0.105) verbotenen Strafe oder Behandlung ausgesetzt wäre. Auch die allgemeine Menschenrechts- situation im Heimatstaat lässt den Wegweisungsvollzug zum heutigen Zeit- punkt nicht als unzulässig erscheinen. Nach dem Gesagten ist der Vollzug der Wegweisung sowohl im Sinne der asyl- als auch der völkerrechtlichen Bestimmungen zulässig.</w:t>
      </w:r>
    </w:p>
    <w:p>
      <w:r>
        <w:t>D-9393/2025 Seite 9</w:t>
      </w:r>
    </w:p>
    <w:p>
      <w:r>
        <w:rPr>
          <w:b/>
        </w:rPr>
        <w:t>E. 6.3</w:t>
      </w:r>
    </w:p>
    <w:p>
      <w:r>
        <w:t>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6.4.1</w:t>
      </w:r>
    </w:p>
    <w:p>
      <w:r>
        <w:t>Weder die allgemeine Lage in der Türkei noch individuelle Gründe wirtschaftlicher oder sozialer Natur lassen auf eine konkrete Gefährdung der Beschwerdeführerin im Fall einer Rückkehr schliessen. In diesem Zu- sammenhang kann vollumfänglich auf die zutreffenden Erwägungen der Vorinstanz verwiesen werden (vgl. angefochtene Verfügung, S. 14 ff.). Die Beschwerdeführerin ist eine junge Frau und verfügt über eine sehr gute Schulbildung sowie vielseitige Arbeitserfahrung (vgl. SEM-act. 20/14 F36 ff.). Aufgrund ihres Alters, ihrer Qualifikationen und ihrer Arbeitserfah- rung ist davon auszugehen, dass sie im Heimatstaat eine Erwerbstätigkeit aufnehmen kann und damit bei einer Rückkehr in die Türkei in keine exis- tenzbedrohende Notlage geraten dürfte. Zudem verfügt die Beschwerde- führerin in der Türkei über ein enges und tragfähiges familiäres Bezie- hungsnetz sowie zahlreiche weitere Verwandte (vgl. SEM-act. 20/14 F21 ff., 48 ff.), auf deren Unterstützung sie – wie bereits bei der Ausreise- finanzierung geschehen – auch künftig zählen kann. Auch der Verweis auf die fortgeschrittene Integration und die Anstellung in einem (…) führt zu keiner anderen Einschätzung. Zwar sind die beruflichen Leistungen der Beschwerdeführerin und die positive Würdigung durch den Arbeitgeber an- erkennenswert; für die Frage der Zumutbarkeit des Wegweisungsvollzugs ist jedoch massgebend, ob eine existenzbedrohende Notlage im Heimat- staat droht, und nicht, ob die Anwesenheit der betroffenen Person im Inte- resse des schweizerischen Arbeitsmarktes läge. Die hier erworbene Ar- beitserfahrung in der Pflege ist vielmehr als Ressource zu werten, welche der Beschwerdeführerin die berufliche Reintegration in der Türkei erleich- tern wird.</w:t>
      </w:r>
    </w:p>
    <w:p>
      <w:r>
        <w:rPr>
          <w:b/>
        </w:rPr>
        <w:t>E. 6.4.2</w:t>
      </w:r>
    </w:p>
    <w:p>
      <w:r>
        <w:t>Die von der Beschwerdeführerin geltend gemachten sexuellen Über- griffe wiegen menschlich schwer und die damit verbundene Scham sowie die Furcht vor einer Stigmatisierung oder gar Gewalt durch die Familie sind subjektiv nachvollziehbar. Dennoch führen diese Umstände nicht zur Un- zumutbarkeit des Wegweisungsvollzugs. Es ist der gebildeten und arbeits- fähigen Beschwerdeführerin zuzumuten, sich im Bedarfsfall in einem an- deren Landesteil der Türkei, fernab des betreffenden Onkels, so</w:t>
      </w:r>
    </w:p>
    <w:p>
      <w:r>
        <w:t>D-9393/2025 Seite 10 beispielsweise in Istanbul, wo sie sich vor ihrer Ausreise bereits aufgehal- ten hat, eine neue Existenz aufzubauen. Der türkische Staat verfügt zudem über Schutzstrukturen für Frauen, auf die sie sich im Falle einer konkreten Bedrohung berufen kann.</w:t>
      </w:r>
    </w:p>
    <w:p>
      <w:r>
        <w:rPr>
          <w:b/>
        </w:rPr>
        <w:t>E. 6.4.3</w:t>
      </w:r>
    </w:p>
    <w:p>
      <w:r>
        <w:t>Schliesslich bestehen auch keine gesundheitlichen Gründe, die einer Rückkehr entgegenstünden. Zwar leidet die Beschwerdeführerin eigenen Angaben zufolge an der (…) (vgl. SEM-act. 20/14 F7; 40/12 F8), sowie gemäss dem jüngsten ärztlichen Bericht vom 17. November 2025 an einer (…) (ICD-10: (…)) sowie einer (…) (ICD-10: (…)), wobei die im Bericht be- schriebene starke (…), die massiven (…) sowie die (…) Ausdruck einer ernstzunehmenden psychischen Krise sind. Allerdings ist diesbezüglich darauf hinzuweisen, dass das türkische Gesundheitswesen grundsätzlich westeuropäischen Standards entspricht (vgl. Urteil des BVGer D- 7282/2023 vom 6. Februar 2024 E. 8.3.5) und sowohl die medikamentöse Einstellung von (…) als auch die Behandlung psychischer Beschwerden gewährleistet. Zudem ist davon auszugehen, dass der Beschwerdeführerin das türkische Gesundheitssystem bekannt und sie in der Lage ist, dieses zu nutzen. Einer allfälligen Suizidgefahr im Rahmen der Rückführung kann durch geeignete medizinische Begleitmassnahmen (Medical Case) begeg- net werden. Damit erweist sich der Vollzug der Wegweisung als zumutbar.</w:t>
      </w:r>
    </w:p>
    <w:p>
      <w:r>
        <w:rPr>
          <w:b/>
        </w:rPr>
        <w:t>E. 6.5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Verfahrensausgang sind die Kosten der Beschwerdeführerin aufzuerlegen (Art. 63 Abs. 1 VwVG) und auf Fr. 1’000.– festzusetzen</w:t>
      </w:r>
    </w:p>
    <w:p>
      <w:r>
        <w:t>D-9393/2025 Seite 11 (Art. 1–3 des Reglements vom 21. Februar 2008 über die Kosten und Ent- schädigungen vor dem Bundesverwaltungsgericht [VGKE, SR 173.320.2]).</w:t>
      </w:r>
    </w:p>
    <w:p>
      <w:r>
        <w:t>(Dispositiv nächste Seite)</w:t>
      </w:r>
    </w:p>
    <w:p>
      <w:r>
        <w:t>D-9393/2025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