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D-934/2017 vom 20. März 2017</w:t>
      </w:r>
    </w:p>
    <w:p>
      <w:r>
        <w:t>Bundesverwaltungsgericht, 2017-03-20, DE</w:t>
      </w:r>
    </w:p>
    <w:p>
      <w:r>
        <w:rPr>
          <w:b/>
        </w:rPr>
        <w:t xml:space="preserve">Quelle: </w:t>
      </w:r>
      <w:r>
        <w:t>https://mcp.opencaselaw.ch/entscheid/bvger_D-934_2017</w:t>
      </w:r>
    </w:p>
    <w:p>
      <w:r>
        <w:t>FR: TAF D-934/2017 du 20 mars 2017</w:t>
      </w:r>
    </w:p>
    <w:p>
      <w:r>
        <w:t>IT: TAF D-934/2017 del 20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erfüllt eine asylsuchende Person dann,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2015/3 E. 6.5.1, 2013/11 E. 5.1).</w:t>
      </w:r>
    </w:p>
    <w:p>
      <w:r>
        <w:rPr>
          <w:b/>
        </w:rPr>
        <w:t>E. 4.3</w:t>
      </w:r>
    </w:p>
    <w:p>
      <w:r>
        <w:t>Gemäss Art. 51 Abs. 1 AsylG werden Ehegatten von Flüchtlingen und ihre minderjährigen Kinder als Flüchtlinge anerkannt und erhalten Asyl, wenn keine besonderen Umstände dagegen sprechen. Den Ehegatten gleichgestellt sind eingetragene Partnerinnen und Partner und die in dauernder eheähnlicher Gemeinschaft zusammenlebenden Personen (Art. 1a Bst. e der Asylverordnung 1 vom 11. August 1999 [AsylV 1, SR 142.311]).</w:t>
      </w:r>
    </w:p>
    <w:p>
      <w:r>
        <w:rPr>
          <w:b/>
        </w:rPr>
        <w:t>E. 5.1</w:t>
      </w:r>
    </w:p>
    <w:p>
      <w:r>
        <w:t>Vorab ist festzustellen, dass vorliegend zu prüfen ist, ob dem Beschwerdeführer in seinem Heimatland Ägypten asylrechtlich relevante Verfolgung droht, oder ob er - falls er die Flüchtlingseigenschaft nicht originär erfüllt - in die Flüchtlingseigenschaft seiner Exfrau einzubeziehen ist. Eine Wegweisung des Beschwerdeführers in den Drittstaat Syrien steht nicht zur Diskussion. Auf die Beschwerdevorbringen bezüglich einer Gefährdung des Beschwerdeführers in Syrien ist daher nicht weiter einzugehen. Das SEM erachtete die Vorbringen des Beschwerdeführers zu seiner Situation in seinem Heimatstaat Ägypten als asylrechtlich nicht relevant und die Voraussetzungen für die Gewährung des Familienasyls gemäss Art. 51 Abs. 1 AsylG als nicht erfüllt. Dieser Einschätzung ist im Ergebnis beizupflichten (vgl. auch nachfolgend E. 5.2 und 5.3). Zur Vermeidung von Wiederholungen kann auf die nicht zu beanstandenden Ausführungen in der angefochtenen Verfügung verwiesen werden. Der Rechtsmitteleingabe vom 13. Februar 2017 sind keine stichhaltigen Entgegnungen zu entnehmen. Dem Beschwerdeführer wurde bereits mit Zwischenverfügung vom 16. Februar 2017 dargelegt, weshalb seine Beschwerdevorbringen keine Änderung in der Frage der Flüchtlingseigenschaft und des Asyls zu bewirken vermögen. Seither wurde keine Veränderung der Sachlage dargetan, so dass ebenfalls auf diese Zwischenverfügung verwiesen werden kann.</w:t>
      </w:r>
    </w:p>
    <w:p>
      <w:r>
        <w:rPr>
          <w:b/>
        </w:rPr>
        <w:t>E. 5.2</w:t>
      </w:r>
    </w:p>
    <w:p>
      <w:r>
        <w:t>Die Vorbringen des Beschwerdeführers bezüglich seiner Situation als Kopte in Ägypten sind nicht geeignet, die Flüchtlingseigenschaft gemäss Art. 3 AsylG zu begründen. Bezüglich der geltend gemachten achttägigen Festhaltung im Jahr 1979 ist nochmals darauf hinzuweisen, dass die Gewährung des Asyls den Schutz vor künftiger Verfolgung bezweckt. Eine begründete Furcht, dass der Beschwerdeführer, der seit 1994 ausser Landes gelebt habe, bei einer heutigen Rückkehr nach Ägypten aufgrund seiner Zugehörigkeit zu den koptischen Christen in absehbarer Zeit gezielt gegen ihn gerichtete Verfolgungsmassnahmen flüchtlingsrelevanten Ausmasses zu gewärtigen hätte, vermag er mit den allgemeinen Ausführungen zur Diskriminierung von Kopten nicht darzulegen. Das Bundesverwaltungsgericht verkennt nicht, dass die koptischen Christen, die im heutigen Ägypten mit geschätzten neun Millionen eine Minderheit innerhalb der muslimischen Bevölkerung sind, aufgrund ihrer Religionszugehörigkeit gesellschaftlichen Benachteiligungen ausgesetzt sein können. Solche genügen für sich allein indes nicht zur Anerkennung der Flüchtlingseigenschaft. Die Gewalt gegenüber Christen und christlichen Einrichtungen, zu der es nach dem Sturz des ehemaligen Präsidenten Mohammed Mursi von der Moslembruderschaft im Juli 2013 und der gewaltsamen Räumung von Pro-Mursi-Protestlagern in Kairo am 14. August 2013 durch ägyptische Sicherheitskräfte kam, ging nach massivem Vorgehen staatlicher Sicherheitskräfte gegen Anhänger der Muslimbrüderschaft wieder deutlich zurück. Das Bundesverwaltungsgericht geht in konstanter Praxis davon aus, dass Kopten in Ägypten keiner kollektiven Gefährdung unterliegen (vgl. statt vieler die Urteile des BVGer E-4808/2016 vom 17. August 2016 und D-1075/2015 vom 11. Dezember 2015). Der Beschwerdeführer vermochte somit nicht nachzuweisen oder zumindest glaubhaft zu machen, dass ihm im heutigen Zeitpunkt in Ägypten allein aufgrund seiner Zugehörigkeit zu den koptischen Christen flüchtlingsrechtlich relevante Verfolgung im Sinne von Art. 3 AsylG droht. Das SEM hat das Asylgesuch zu Recht abgelehnt.</w:t>
      </w:r>
    </w:p>
    <w:p>
      <w:r>
        <w:rPr>
          <w:b/>
        </w:rPr>
        <w:t>E. 5.3</w:t>
      </w:r>
    </w:p>
    <w:p>
      <w:r>
        <w:t>Das SEM hat auch zu Recht erkannt, dass die Voraussetzungen des Familienasyls gemäss Art. 51 Abs. 1 AsylG nicht erfüllt sind. Massgeblicher Zeitpunkt zur Feststellung, ob die entsprechenden Voraussetzungen gegeben sind, ist derjenige des Entscheids (vgl. Entscheidungen und Mitteilungen der [vormaligen] Schweizerischen Asylrekurskommission [EMARK] 2002 Nr. 20 E. 51). Die Ehe des Beschwerdeführers wurde am (...) 2015 geschieden und geschiedene Ehegatten gehören nicht zum abschliessend definierten Kreis der anspruchsberechtigten Personen in Abs. 1 von Art. 51 AsylG (vgl. BVGE 2015/29 E. 4.4.2). Daran vermögen die gemeinsame elterliche Sorge für die Kinder, die bei der Scheidung unter die alleinige Obhut der Mutter gestellt wurden, und regelmässige Besuche des Beschwerdeführers bei seiner Exfrau und den Kindern nichts zu ändern. Im Übrigen vermögen die Ausführungen in der Rechtsmitteleingabe vom 13. Februar 2017 und im Schreiben der Exfrau vom 6. Februar 2017 nicht darzulegen, dass die ehemaligen Eheleute nach der Scheidung wieder im Sinne von Art. 1a Bst. e AsylV 1 in dauernder eheähnlicher Gemeinschaft an einem gemeinsamen Wohnsitz zusammenleben würden. Der Vollständigkeit halber bleibt anzumerken, dass, nachdem die Voraussetzungen des Familienasyls gemäss Art. 51 Abs. 1 AsylG nicht erfüllt sind, die Bestimmungen von Art. 8 EMRK sowie Art. 17 und 23 des UNO-Pakts II über bürgerliche und politische Rechte (SR 0.103.2) vorliegend nicht ergänzend angewendet werden können (vgl. EMARK 2002 Nr. 6 E. 5). Die Prüfung eines allfälligen Anspruchs des Beschwerdeführers auf Aufenthalt in der Schweiz als Vater hier aufenthaltsberechtigter minderjähriger Kinder fällt in die Zuständigkeit der kantonalen Migrationsbehörden (vgl. hierzu auch die nachfolgenden Ausführungen unter E. 6).</w:t>
      </w:r>
    </w:p>
    <w:p>
      <w:r>
        <w:rPr>
          <w:b/>
        </w:rPr>
        <w:t>E. 5.4</w:t>
      </w:r>
    </w:p>
    <w:p>
      <w:r>
        <w:t>Der Beschwerdeführer erfüllt damit die Flüchtlingseigenschaft im Sinne von Art. 3 AsylG weder originär noch erwirbt er den Flüchtlingsstatus derivativ von seiner Exfrau gemäss Art. 51 Abs. 1 AsylG.</w:t>
      </w:r>
    </w:p>
    <w:p>
      <w:r>
        <w:rPr>
          <w:b/>
        </w:rPr>
        <w:t>E. 6</w:t>
      </w:r>
    </w:p>
    <w:p>
      <w:r>
        <w:t>Hinsichtlich des Beschwerdeantrags um Gewährung der vorläufigen Aufnahme des Beschwerdeführers in der Schweiz ist darauf hinzuweisen, dass die vorläufige Aufnahme eine Ersatzmassnahme für einen nicht durchführbaren Vollzug einer verfügten Wegweisung darstellt (Art. 83 Abs. 1-4 AuG [SR 142.20]). Vorliegend hat das SEM indes keine Wegweisung des Beschwerdeführers verfügt, sondern die diesbezügliche Zuständigkeit der kantonalen Migrationsbehörden festgestellt (vgl. die vorstehenden Ausführungen unter E. 5.3). Folglich ist vorliegend mangels verfügter Wegweisung auf den Beschwerdeantrag um Gewährung der vorläufigen Aufnahme nicht einzutreten.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