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D-932/2022 vom 28. April 2022</w:t>
      </w:r>
    </w:p>
    <w:p>
      <w:r>
        <w:t>Bundesverwaltungsgericht, 2022-04-28, DE</w:t>
      </w:r>
    </w:p>
    <w:p>
      <w:r>
        <w:rPr>
          <w:b/>
        </w:rPr>
        <w:t xml:space="preserve">Quelle: </w:t>
      </w:r>
      <w:r>
        <w:t>https://mcp.opencaselaw.ch/entscheid/bvger_D-932_2022</w:t>
      </w:r>
    </w:p>
    <w:p>
      <w:r>
        <w:t>FR: TAF D-932/2022 du 28 avril 2022</w:t>
      </w:r>
    </w:p>
    <w:p>
      <w:r>
        <w:t>IT: TAF D-932/2022 del 28 aprile 2022</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Die vorliegende Beschwerde erweist sich – wie nachstehend aufgezeigt –</w:t>
      </w:r>
    </w:p>
    <w:p>
      <w:r>
        <w:t>D-932/2022 Seite 5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der Beschwerdeschrift wird eine mehrfache Verletzung des An- spruchs auf rechtliches Gehör und des Untersuchungsgrundsatzes gerügt; diese Rügen sind vorab zu beurteilen, da sie gegebenenfalls geeignet sind, eine Kassation der vorinstanzlichen Verfügung zu bewirken. So habe die Vorinstanz die Asylgründe des Beschwerdeführers nicht ab- geklärt und ihn nie zu seinen Asylgründen befragt. Sein Vorbringen einer zutiefst gestörten zwischenmenschlichen Beziehung zu der die Anhörung dolmetschenden Person und sein diesbezügliches Ausstandsgesuch seien pauschal und ohne nähere Abklärungen zurückgewiesen worden. Mangels einer Befragung zu den Asylgründen sei denn auch der Sachverhalt be- züglich des Wegweisungsvollzugs nicht vollständig erstellt worden.</w:t>
      </w:r>
    </w:p>
    <w:p>
      <w:r>
        <w:rPr>
          <w:b/>
        </w:rPr>
        <w:t>E. 4.2.1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Ihre Grenze findet die Abklärungspflicht der Behörden so- dann in der in Art. 8 AsylG statuierten Mitwirkungspflicht der asylsuchen- den Person. Zentrale Pflicht für das gesamte Asylverfahren ist dabei die Darlegung der Asylgründe, welche die asylsuchende Person in der Anhö- rung nach Art. 29 AsylG wahrheitsgetreu und vollständig zu schildern hat. Ebenso vollständig wie wahrheitsgemäss anzugeben hat sie ihre Identität, wozu auch die Staatsangehörigkeit zählt (vgl. CONSTANTIN HRUSCHKA in: Spescha et al. (Hrsg.), Kommentar zum Migrationsrecht, 5. Aufl. 2019, Art. 8 AsylG N2 ff.). Verletzt eine asylsuchende Person ihre Mitwirkungs- pflicht schuldhaft und grob, wird ihr dazu das rechtliche Gehör gewährt (Art. 36 Abs. 1 Bst. c AsylG). In diesen Fällen muss keine Anhörung ge- mäss Art. 29 AsylG durchgeführt werden (Art. 36 Abs. 2 AsylG e contrario). Eine Verletzung der Mitwirkungspflicht ist dann als grob zu bezeichnen, wenn sie sich auf die Verhinderung einer bestimmten, konkret vorgesehe- nen Verfahrenshandlung bezieht (vgl. Urteil des BVGer E-92/2020 vom</w:t>
      </w:r>
    </w:p>
    <w:p>
      <w:r>
        <w:t>D-932/2022 Seite 6 15. Januar 2020 E. 7.3 m.w.H.). Schuldhaft ist sie, wenn die betreffende Person durch aktives Handeln zur Verletzung beiträgt oder ein Handeln unterlässt, welches ihr in der konkreten Situation vernünftigerweise zuge- mutet werden kann (vgl. EMARK 2000 Nr. 8 E. 5.a).</w:t>
      </w:r>
    </w:p>
    <w:p>
      <w:r>
        <w:rPr>
          <w:b/>
        </w:rPr>
        <w:t>E. 4.2.2</w:t>
      </w:r>
    </w:p>
    <w:p>
      <w:r>
        <w:t>Der Anspruch auf unbefangene Entscheidträger der Verwaltung ergibt sich aus Art. 29 Abs. 1 BV (vgl. BVGE 2019 VI/6 E. 8.1) und wird durch Art. 10 Abs. 1 VwVG konkretisiert. Anwendbar sind die Ausstands- vorschriften auf alle Amtsträger, welche an einem Entscheid in irgendeiner Form mitwirken und dabei auf den Ausgang des Verfahrens Einfluss neh- men können. Erfasst sind daher allenfalls auch Übersetzer (vgl. BREITEN- MOSER STEPHAN/SPORI FEDAIL MARION, in: Waldmann Bernhard/Weissen- berger Philippe (Hrsg.), VwVG - Praxiskommentar Verwaltungsverfahrens- gesetz, 2. Aufl., Zürich 2016, Art.10 N29). Richtet sich das Ausstandsbe- gehren gegen eine Person, die an der Vorbereitung eines Entscheids mit- gewirkt hat, erscheint es angezeigt, der direkt vorgesetzten Amtsperson den Entscheid zu überlassen. Die den Ausstand begründenden Tatsachen sind glaubhaft zu machen (vgl. FELLER RETO/KUNZ-NOTTER PANDORA, in: Auer Christoph/Müller Markus/Schindler Benjamin (Hrsg.), VwVG - Bun- desgesetz über das Verwaltungsverfahren Kommentar, 2. Aufl., Zürich/ St. Gallen 2019, Art. 10 N15 und N39).</w:t>
      </w:r>
    </w:p>
    <w:p>
      <w:r>
        <w:rPr>
          <w:b/>
        </w:rPr>
        <w:t>E. 4.3.1</w:t>
      </w:r>
    </w:p>
    <w:p>
      <w:r>
        <w:t>Vorliegend erweist sich die wiederholte Rüge der unvollständigen Sachverhaltsfeststellung als unbegründet. Den Akten sind keinerlei Hin- weise darauf zu entnehmen, dass die Vorinstanz die Vorbringen des Be- schwerdeführers nicht sorgfältig und ernsthaft geprüft und in der Entscheid- findung berücksichtigt hätte. So hat sie in der angefochtenen Verfügung denn auch nachvollziehbar und hinreichend differenziert aufgezeigt, dass sie sich mit sämtlichen seiner Vorbringen – insbesondere auch den Ein- wänden gegenüber dem Übersetzer und seinen Vorbehalten gegenüber der Anhörung – auseinandergesetzt hat (vgl. C23/11 S. 6). Der blosse Um- stand, dass der Beschwerdeführer die Beurteilung seiner Ausführungen durch die Vorinstanz nicht teilt, stellt keine Gehörsverletzung dar, sondern beschlägt die Frage der materiellen Würdigung.</w:t>
      </w:r>
    </w:p>
    <w:p>
      <w:r>
        <w:rPr>
          <w:b/>
        </w:rPr>
        <w:t>E. 4.3.2</w:t>
      </w:r>
    </w:p>
    <w:p>
      <w:r>
        <w:t>Bezüglich des Ausstandsgesuchs ist zunächst festzuhalten, dass die Vorinstanz entgegen der Beschwerdeschrift nicht verpflichtet war, dieses an das Eidgenössische Justiz- und Polizeidepartement (EJPD) weiterzu- leiten. Ebenso wenig zu beanstanden sind ihre Ausführungen in der ange-</w:t>
      </w:r>
    </w:p>
    <w:p>
      <w:r>
        <w:t>D-932/2022 Seite 7 fochtenen Verfügung, die Haltung des Dolmetschers sei offen und unvor- eingenommen gewesen, finden sich doch bei objektiver Betrachtung keine Hinweise in den Akten, die den Anschein einer Befangenheit oder gar der Voreingenommenheit erwecken könnten. Auch die Angaben, welche der Beschwerdeführer in seiner Stellungnahme zum Entscheidentwurf zur (an- geblichen) Person des Dolmetschers machte, vermögen keine Zweifel an seiner Unabhängigkeit zu wecken, denn wird auch auf Beschwerdeebene nicht dargelegt, weshalb er dergleichen nicht bereits im Rahmen des recht- lichen Gehörs geltend machte. Seine (angebliche) persönliche Beziehung zur dolmetschenden Person erwähnte der Beschwerdeführer denn trotz ausdrücklicher Aufforderung, die Gründe seines ablehnenden Verhaltens darzulegen nicht einmal ansatzweise (vgl. C13/7 F15 ff.). Das diesbezügli- che Vorbringen ist somit als nachgeschoben und folglich unglaubhaft zu qualifizieren. Als reine Schutzbehauptung ist denn auch die Argumentation, aufgrund der Kenntnisse des Übersetzers zu seiner Straffälligkeit habe er nicht ungezwungen über seine Asylgründe berichten können, zu qualifizie- ren. Weder ergeben sich aus den Akten Hinweise, der Dolmetscher hätte sich durch (allfällige) Kenntnisse der Verurteilung beeinflussen lassen, noch vermag der Beschwerdeführer darzulegen, inwiefern seine strafrecht- liche Verurteilung einen Zusammenhang mit seinen (nicht näher bekann- ten) Asylgründen aufweisen könnte. Anderweitige Gründe, die ihm die Teil- nahme an der Anhörung verunmöglicht haben könnten, finden sich in den Akten keine. Zusammenfassend ist somit festzuhalten, dass dem Beschwerdeführer die Teilnahme an der Anhörung sowohl zumutbar als auch möglich war und er durch seine Weigerung die konkret vorgesehene Verfahrenshandlung der Anhörung verhinderte. Da er damit seine Mitwirkungspflicht schuldhaft und in grober Weise verletzt hat, verzichtete die Vorinstanz – nach Gewährung des rechtlichen Gehörs – somit zu Recht auf eine erneute Anhörung des Beschwerdeführers.</w:t>
      </w:r>
    </w:p>
    <w:p>
      <w:r>
        <w:rPr>
          <w:b/>
        </w:rPr>
        <w:t>E. 4.4</w:t>
      </w:r>
    </w:p>
    <w:p>
      <w:r>
        <w:t>Die formellen Rügen erweisen sich demnach als unbegründet und es besteht keine Veranlassung, die Verfügung aus formellen Gründen aufzu- heben und die Sache an die Vorinstanz zurückzuweisen.</w:t>
      </w:r>
    </w:p>
    <w:p>
      <w:r>
        <w:rPr>
          <w:b/>
        </w:rPr>
        <w:t>E. 5</w:t>
      </w:r>
    </w:p>
    <w:p>
      <w:r>
        <w:t>Die Fällung eines materiellen Entscheids nach festgestellter Mitwirkungs- pflichtverletzung und Gewährung des rechtlichen Gehörs in Anwendung von Art. 36 Abs. 1 Bst. c AsylG erfordert grundsätzlich eine summarische Prüfung der Fluchtvorbringen (vgl. Urteil des BVGer E-611/2021 vom</w:t>
      </w:r>
    </w:p>
    <w:p>
      <w:r>
        <w:t>D-932/2022 Seite 8 11. März 2021 E. 6.2 m.w.H.). Dies setzt jedoch voraus, dass der den Ent- scheid fällenden Behörde minimale Sachverhaltselemente vorliegen, wel- che auf ihre flüchtlingsrechtliche Relevanz geprüft werden können.</w:t>
      </w:r>
    </w:p>
    <w:p>
      <w:r>
        <w:rPr>
          <w:b/>
        </w:rPr>
        <w:t>E. 6.1</w:t>
      </w:r>
    </w:p>
    <w:p>
      <w:r>
        <w:t>Ihren ablehnenden Entscheid begründet die Vorinstanz im Wesentli- chen damit, aufgrund des Säumnisses des Beschwerdeführers lägen keine flüchtlingsrechtlich relevanten Sachverhaltsvorbringen vor, welche einer Würdigung unterzogen werden könnten. Ohnehin habe er durch seine Wei- gerung an der Anhörung teilzunehmen, sein kontinuierlich unkooperatives Verhalten, zahlreiche Widersprüche seine Herkunft betreffend und die wie- derholte Verschleierung seiner Identität seine Flüchtlingseigenschaft nicht glaubhaft machen können.</w:t>
      </w:r>
    </w:p>
    <w:p>
      <w:r>
        <w:rPr>
          <w:b/>
        </w:rPr>
        <w:t>E. 6.2</w:t>
      </w:r>
    </w:p>
    <w:p>
      <w:r>
        <w:t>In der Beschwerdeschrift wird dem entgegengehalten, es könne vom Beschwerdeführer nicht erwartet werden, sich in jedem Verfahrensschritt zu seinen Asylgründen zu äussern, obgleich er durch die Vorinstanz gar nie dazu aufgefordert worden sei. Nichtsdestotrotz habe er denn in seiner Stellungnahme zum Entscheidentwurf nochmals explizit auf die ihm im Je- men drohende Verfolgung hingewiesen.</w:t>
      </w:r>
    </w:p>
    <w:p>
      <w:r>
        <w:rPr>
          <w:b/>
        </w:rPr>
        <w:t>E. 7.1</w:t>
      </w:r>
    </w:p>
    <w:p>
      <w:r>
        <w:t>Nach Prüfung der Akten gelangt das Bundesverwaltungsgericht zum Schluss, dass die Vorinstanz ein schutzwürdiges Interesse des Beschwer- deführers sowie seine Flüchtlingseigenschaft zu Recht verneinte und sein Asylgesuch ablehnte. Die Ausführungen in der Beschwerdeschrift vermö- gen dem nichts Stichhaltiges entgegenzusetzen. Mit den nachfolgenden Ausführungen kann zur Vermeidung von Wiederholungen auf die zutreffen- den Erwägungen in der angefochtenen Verfügung (vgl. E. 6.1 hiervor) ver- wiesen werden.</w:t>
      </w:r>
    </w:p>
    <w:p>
      <w:r>
        <w:rPr>
          <w:b/>
        </w:rPr>
        <w:t>E. 7.2</w:t>
      </w:r>
    </w:p>
    <w:p>
      <w:r>
        <w:t>Aufgrund des Säumnisses des Beschwerdeführers liegen keinerlei flüchtlingsrechtlich relevante Sachverhaltselemente vor, welche einer Wür- digung unterzogen werden könnten: denn er verweigerte nicht nur die An- hörung, sondern äusserte sich weder im Rahmen des rechtlichen Gehörs zur Mitwirkungspflichtverletzung, noch in seiner Stellungnahme zum Ent- scheidentwurf konkret zu möglichen Fluchtgründen. Dies obwohl sowohl der Entscheidentwurf als auch die angefochtene Verfügung im Wesentli- chen mit der Nichtglaubhaftmachung der Flüchtlingseigenschaft begründet werden. So kann denn sein allgemeines und knappes Vorbringen, er habe dem alten Regime angehört und würde deshalb im Jemen verfolgt</w:t>
      </w:r>
    </w:p>
    <w:p>
      <w:r>
        <w:t>D-932/2022 Seite 9 (vgl. C20/3), keiner asylrechtlichen Würdigung unterzogen werden, sind diese Ausführungen doch offensichtlich zu vage und unsubstantiiert. Glei- ches gilt für die Rechtsmitteleingabe, in welcher eingestanden wird, «die Fluchtgründe des Beschwerdeführers [lägen] vollkommen im Dunkeln» (vgl. Beschwerde S. 10), und ansonsten lediglich auf die vorangegangene Eingabe verwiesen wird. Entgegen der Beschwerdeschrift muss sich der Beschwerdeführer denn auch seine im Rahmen des zweiten Asylgesuchs gemachten Aussagen, wonach er während seines ersten Asylverfahrens die Unwahrheit gesagt habe und aus rein wirtschaftlichen Gründen in der Schweiz um Asyl nachsuche, entgegenhalten lassen (vgl. B1/13 F16 und B10/7 F8 ff.). Die vorliegend geltend gemachte flüchtlingsrechtlich rele- vante Verfolgung erscheint somit zusätzlich unwahrscheinlich.</w:t>
      </w:r>
    </w:p>
    <w:p>
      <w:r>
        <w:rPr>
          <w:b/>
        </w:rPr>
        <w:t>E. 7.3</w:t>
      </w:r>
    </w:p>
    <w:p>
      <w:r>
        <w:t>Der Vorinstanz ist demnach zuzustimmen, dass der Beschwerdeführer – aufgrund seines dargelegten Verhaltens – seine Flüchtlingseigenschaft nicht glaubhaft zu machen vermag. Das Asylgesuch wurde demnach zu Recht abgelehnt.</w:t>
      </w:r>
    </w:p>
    <w:p>
      <w:r>
        <w:rPr>
          <w:b/>
        </w:rPr>
        <w:t>E. 8</w:t>
      </w:r>
    </w:p>
    <w:p>
      <w:r>
        <w:t>Lehnt das SEM ein Asylgesuch ab oder tritt es darauf nicht ein, ordnet es in der Regel die Wegweisung aus der Schweiz an (Art. 44 AsylG). Vorlie- gend tritt der Regelfall ein. Die Wegweisung ist zu bestätigen.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zwar von Amtes wegen zu prüfen (Art. 6 AsylG i.V.m. Art. 12 VwVG), diese Untersuchungspflicht findet je- doch nach Treu und Glauben ihre Grenzen in der Mitwirkungspflicht der beschwerdeführenden Person (vgl. E.4.2.1 hiervor). Es kann nicht Sache der Asylbehörden sein, nach allfälligen Herkunftsstaaten oder Wegwei- sungsvollzugshindernissen bezüglich hypothetischer Herkunftsstaaten zu forschen, wenn die asylsuchende Person – durch unglaubhafte bezie- hungsweise fehlende, womöglich gezielt vorenthaltene Angaben über ihre Identität und ihr soziales Beziehungsnetz – eine vernünftige Prüfung der Zumutbarkeit des Wegweisungsvollzugs verhindert (vgl. EMARK 2005 Nr. 1 E 3.2.2 und BVGE 2014/12 E. 5.2).</w:t>
      </w:r>
    </w:p>
    <w:p>
      <w:r>
        <w:t>D-932/2022 Seite 10</w:t>
      </w:r>
    </w:p>
    <w:p>
      <w:r>
        <w:rPr>
          <w:b/>
        </w:rPr>
        <w:t>E. 9.2</w:t>
      </w:r>
    </w:p>
    <w:p>
      <w:r>
        <w:t>Entgegen der angefochtenen Verfügung und der Beschwerdeschrift ist sowohl die Staatsangehörigkeit als auch die Herkunft des Beschwerdefüh- rers als unbekannt respektive ungeklärt zu bezeichnen, machte er doch gegenüber den Asylbehörden während seiner rund zwanzigjährigen Ver- fahrensgeschichte diesbezüglich nur widersprüchliche sowie unglaubhafte Angaben und reichte keine Identitätspapiere ein (vgl. beispielsweise A14/37 S. 1; B1/13 F15 und C7/12 F1.14, F2.01, F4.02). Darüber hinaus gestand er während seines zweiten Asylverfahrens denn auch ein, die Schweizer Behörden in der Vergangenheit mehrfach und vorsätzlich über seine Identität getäuscht zu haben (vgl. B1/13 F15). Die Prüfung von allfäl- ligen Wegweisungsvollzugshindernissen hat der Beschwerdeführer damit bewusst verunmöglicht. Daran vermögen auch die in der Rechtsmittelein- gabe erhobenen Einwände nichts zu ändern, zumal auch auf Beschwerde- ebene keine Beweismittel eingereicht werden, die Aufschluss über seine Herkunft und Identität geben könnten. Die Folgen seiner fehlenden Mitwir- kung hat er denn insofern zu tragen, als der Schluss gezogen werden muss, es spreche nichts gegen eine Rückkehr an den bisherigen Aufent- haltsort.</w:t>
      </w:r>
    </w:p>
    <w:p>
      <w:r>
        <w:rPr>
          <w:b/>
        </w:rPr>
        <w:t>E. 9.3</w:t>
      </w:r>
    </w:p>
    <w:p>
      <w:r>
        <w:t>Es obliegt dem Beschwerdeführer, sich die für eine Rückkehr allenfalls benötigten Reisedokumente zu beschaffen (Art. 8 Abs. 4 AsylG; vgl. BVGE 2008/34 E. 12), weshalb der Vollzug der Wegweisung auch als möglich zu bezeichnen ist.</w:t>
      </w:r>
    </w:p>
    <w:p>
      <w:r>
        <w:rPr>
          <w:b/>
        </w:rPr>
        <w:t>E. 9.4</w:t>
      </w:r>
    </w:p>
    <w:p>
      <w:r>
        <w:t>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Bei diesem Ausgang des Verfahrens sind die Kosten dem Beschwerdefüh- rer aufzuerlegen (Art. 63 Abs. 1 VwVG). Wie mit Zwischenverfügung vom</w:t>
      </w:r>
    </w:p>
    <w:p>
      <w:r>
        <w:rPr>
          <w:b/>
        </w:rPr>
        <w:t>E. 15</w:t>
      </w:r>
    </w:p>
    <w:p>
      <w:r>
        <w:t>März 2022 festgestellt sind diese aufgrund des dem vorliegenden Ver- fahren zugrundeliegenden mutwilligen und rechtsmissbräuchlichen Vorge- hen gestützt auf Art. 2 Abs. 1 und 2 des Reglements vom 21. Februar 2008 über die Kosten und Entschädigungen vor dem Bundesverwaltungsgericht</w:t>
      </w:r>
    </w:p>
    <w:p>
      <w:r>
        <w:t>D-932/2022 Seite 11 (VGKE, SR 173.320.2) zu erhöhen und auf insgesamt Fr. 1'500.– festzu- setzen (Art. 1–3 VGKE). Sie sind durch den geleisteten Kostenvorschuss in gleicher Höhe gedeckt.</w:t>
      </w:r>
    </w:p>
    <w:p>
      <w:r>
        <w:t>(Dispositiv nächste Seite)</w:t>
      </w:r>
    </w:p>
    <w:p>
      <w:r>
        <w:t>D-932/2022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