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D-931/2013 vom 10. April 2013</w:t>
      </w:r>
    </w:p>
    <w:p>
      <w:r>
        <w:t>Bundesverwaltungsgericht, 2013-04-10, DE</w:t>
      </w:r>
    </w:p>
    <w:p>
      <w:r>
        <w:rPr>
          <w:b/>
        </w:rPr>
        <w:t xml:space="preserve">Quelle: </w:t>
      </w:r>
      <w:r>
        <w:t>https://mcp.opencaselaw.ch/entscheid/bvger_D-931_2013</w:t>
      </w:r>
    </w:p>
    <w:p>
      <w:r>
        <w:t>FR: TAF D-931/2013 du 10 avril 2013</w:t>
      </w:r>
    </w:p>
    <w:p>
      <w:r>
        <w:t>IT: TAF D-931/2013 del 10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Überdies muss feststehen, dass die von einer Verfolgung bedrohte asylsuchende Person über keine innerstaatliche Fluchtalternative verfügt (vgl. BVGE 2010/57 E. 2, BVGE 2008/34 E. 7.1, BVGE 2007/31 5.2 f., je mit weiteren Hinweisen).</w:t>
      </w:r>
    </w:p>
    <w:p>
      <w:r>
        <w:rPr>
          <w:b/>
        </w:rPr>
        <w:t>E. 4.3</w:t>
      </w:r>
    </w:p>
    <w:p>
      <w:r>
        <w:t>Nach Prüfung der Akten durch das Gericht ist - in Übereinstimmung mit der Vorinstanz - festzustellen, dass die Vorbringen des Beschwerdeführers den Anforderungen an die Flüchtlingseigenschaft gemäss Art. 3 AsylG nicht standzuhalten vermögen, weshalb diesbezüglich zur Vermeidung von Wiederholungen vorab auf die zutreffenden vorinstanzlichen Erwägungen zu verweisen ist (vgl. Ziffer I; Bst. B. vorstehend). Die Vorbringen in der Rechtsmittelschrift sind nicht geeignet, eine Änderung der vorinstanzlichen Verfügung zu bewirken, zumal der Beschwerdeführer nicht zum Personenkreis gehört, deren Zugehörige gemäss Praxis des Bundesverwaltungsgerichts einer erhöhten Gefahr unterliegen (vgl. BVGE 2011/24 E. 7 f.). Diesbezüglich ist insbesondere darauf hinzuweisen, dass der Beschwerdeführer gemäss eigenen Aussagen nie für die LTTE tätig gewesen ist (BFM-Akten A 9/11 F52). Gegen ein heute noch bestehendes Verfolgungsinteresse der sri-lankischen Behörden am Beschwerdeführer spricht auch die Tatsache, dass er vor seiner Ausreise aus Sri Lanka gemäss eigenen Aussagen während sieben Jahren unbehelligt in seinem Heimatland leben konnte. Hätten die sri-lankischen Behörden den Beschwerdeführer tatsächlich ernsthaft verdächtigt, die LTTE in irgendeiner Form zu unterstützen respektive wären sie an Informationen über seine beiden Brüder interessiert gewesen, hätten sie ihn mit Sicherheit nicht während Jahren ungestört bei seinem Onkel leben lassen, sondern hätten ihn befragt und eventuell festgenommen sowie ein Verfahren gegen ihn eröffnet. Nach dem Gesagten ist die Behauptung in der Rechtsmittelschrift, wonach der Beschwerdeführer in Sri Lanka zum heutigen Zeitpunkt von der Polizei gesucht werde, weshalb er in seiner Heimat nach wie vor gefährdet sei, unglaubhaft. An dieser Einschätzung vermag auch das eingereichte "Extract from the Information Book" vom 7. Februar 2013 nichts zu ändern, da erhebliche Zweifel an der Authentizität dieses Dokuments bestehen, zumal insbesondere die darin angegebene Adresse des Beschwerdeführers nicht mit dessen anlässlich der Befragungen gemachten Angaben übereinstimmen. Bei dieser Sachlage konnte darauf verzichtet werden, dem Beschwerdeführer ein Frist zur Nachreichung des Originals des "Extract from the Information Book" vom 7. Februar 2013 zu gewähren (antizipierte Beweiswürdigung: vgl. BVGE 2008/24 E. 7.2). Folglich ist auch der in der Beschwerde gestellte Beweisantrag, wonach dieses Dokument vor Ort durch die schweizerische Vertretung zu überprüfen sei, abzuweisen. Bezüglich der Vorbringen und Beweismittel in Bezug auf Indien ist schliesslich festzustellen, dass diese asylrechtlich nicht von Belang sind, weshalb darauf nicht weiter eingegangen werden muss.</w:t>
      </w:r>
    </w:p>
    <w:p>
      <w:r>
        <w:rPr>
          <w:b/>
        </w:rPr>
        <w:t>E. 4.4</w:t>
      </w:r>
    </w:p>
    <w:p>
      <w:r>
        <w:t>Zusammenfassend ist festzuhalten, dass der Beschwerdeführer keine Gründe nach Art. 3 AsylG glaubhaft machen oder nachweisen konnte. Er vermag mit seinen Beschwerdevorbringen zu keiner anderen Betrachtungsweise zu führen, weshalb es sich erübrigt, weiter darauf einzugehen. Das BFM hat demnach zu Recht die Flüchtlingseigenschaft des Beschwerdeführers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6.2.1</w:t>
      </w:r>
    </w:p>
    <w:p>
      <w:r>
        <w:t>Der Vollzug ist nicht zulässig, wenn völkerrechtliche Verpflichtungen der Schweiz einer Weiterreise der Ausländerin oder des Ausländers in den Heimat-, Herkunfts- oder einen Drittstaat entgegenstehen (Art. 83 Abs. 3 AuG).</w:t>
      </w:r>
    </w:p>
    <w:p>
      <w:r>
        <w:rPr>
          <w:b/>
        </w:rPr>
        <w:t>E. 6.2.2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6.3.2</w:t>
      </w:r>
    </w:p>
    <w:p>
      <w:r>
        <w:t>Das Bundesverwaltungsgericht nahm in BVGE 2011/24 eine umfassende Analyse der Situation in Sri Lanka vor. Danach hat sich seit dem Ende des bewaffneten Konflikts zwischen der sri-lankischen Armee und den LTTE im Mai 2009 die Menschenrechts- und Sicherheitslage in Sri Lanka wesentlich verbessert (BVGE a.a.O. E. 12). Die Lage präsentiert sich allerdings nicht in allen Landesteilen gleich. Unterschieden werden muss zwischen der Ostprovinz, in die der Wegweisungsvollzug grundsätzlich zumutbar ist, und zwei verschiedenen Gebieten innerhalb der Nordprovinz, in die der Wegweisungsvollzug nicht oder nur unter bestimmten Voraussetzungen zumutbar ist: Der Wegweisungsvollzug ins sogenannte Vanni-Gebiet ist unzumutbar, während der Vollzug in die übrigen Gebiete der Nordprovinz nicht als generell unzumutbar eingestuft wird, sondern im Einzelfall eine zurückhaltende Beurteilung der individuellen Zumutbarkeitskriterien vorgenommen werden muss. Die Rückkehr in alle anderen Landesteile, insbesondere in den Grossraum Colombo, ist grundsätzlich zumutbar (BVGE a.a.O. E. 13).</w:t>
      </w:r>
    </w:p>
    <w:p>
      <w:r>
        <w:rPr>
          <w:b/>
        </w:rPr>
        <w:t>E. 6.3.3</w:t>
      </w:r>
    </w:p>
    <w:p>
      <w:r>
        <w:t>Gestützt auf diese Beurteilung der allgemeinen, heute herrschenden Sicherheits- und politischen Lage in Sri Lanka sowie nach Prüfung der Akten kommt das Bundesverwaltungsgericht in Übereinstimmung mit dem BFM zum Schluss, dass der Wegweisungsvollzug des Beschwerdeführers im heutigen Zeitpunkt zumutbar ist. An dieser Einschätzung vermögen auch die von ihm in der Beschwerde zitierten Berichte bezüglich der Situation in Sri Lanka nichts zu ändern, da sich ihnen nicht eine wesentlich andere Beurteilung der Lage in Sri Lanka entnehmen lässt. Es erübrigt sich daher, darauf weiter einzugehen. Gemäss den Akten stammt der Beschwerdeführer aus dem Distrikt Jaffna, wo er nach eigenen Aussagen von Geburt bis zu seiner Ausreise aus Sri Lanka im Dezember 2008 gelebt hat. Hinsichtlich seiner Beziehungen im Heimatstaat ist festzustellen, dass er bei der Anhörung zu Protokoll gab, ein G._______ sowie eine H._______ lebten im Distrikt Jaffna (A 9/11 S. 7). In der Rechtsmittelschrift bringt der Beschwerdeführer vor, die Familienangehörigen lebten nicht mehr in Sri Lanka. Bezüglich des erwähnten G._______ und der genannten H._______ wird diese pauschale Aussage - trotz Zumutbarkeit - in keiner Weise belegt, weshalb sie zumindest in dieser Hinsicht nur als Schutzbehauptung zu werten ist und entgegen der Angabe des Beschwerdeführers anzunehmen, dass sich diese Verwandten noch immer im Jaffna-Distrikt aufhalten. Überdies ist angesichts des jahrzehntelangen Aufenthalts des Beschwerdeführers im Distrikt Jaffna davon auszugehen, dass er dort über viele Freunde und Bekannte verfügt, die ihm bei einer Rückkehr eine Reintegration erleichtern können. Deshalb ist anzunehmen, dass er im Distrikt Jaffna über ein tragfähiges soziales Netz verfügt. Der - gemäss den Akten - gesunde Beschwerdeführer verfügt zudem über Berufserfahrung in der I._______ sowie als J._______, weshalb er in der Lage sein wird, sich in der Heimat wirtschaftlich zu reintegrieren. Bei der Integration wird er im Bedarfsfall auf die (finanzielle) Unterstützung seiner K._______ sowie L._______ zählen können, die in Grossbritannien, Deutschland und Australien leben. Die Rückkehrhilfe der Schweiz wird ihm den Wiedereinstieg in Sri Lanka ebenfalls erleichtern (vgl. Art. 62 ff. der Asylverordnung 2 über Finanzierungsfragen vom 11. August 1999 [AsylV 2, SR 142.312). Schliesslich ist darauf hinzuweisen, dass bloss soziale und wirtschaftliche Schwierigkeiten, von denen die ansässige Bevölkerung im Allgemeinen betroffen ist, nicht genügen, um eine konkrete Gefährdung im Sinne von Art. 83 Abs. 4 AuG darzustellen (vgl. BVGE 2008/34 E. 11.2.2). Es ist somit davon auszugehen, dass er bei einer Rückkehr in seinen Heimatstaat nicht in eine existenzielle Notlage geraten wird. Der Vollzug der Wegweisung erweist sich damit sowohl in genereller als auch in individueller Hinsicht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nicht als unmöglich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8.1</w:t>
      </w:r>
    </w:p>
    <w:p>
      <w:r>
        <w:t>Zusammen mit seiner Rechtsmitteleingabe ersuchte der Beschwerdeführer um Gewährung der unentgeltlichen Rechtspflege. Gemäss Art. 65 Abs. 1 VwVG befreit die Beschwerdeinstanz nach Einreichung der Beschwerde eine Partei, die nicht über die erforderlichen Mittel verfügt, auf Antrag von der Bezahlung der Verfahrenskosten, sofern ihr Begehren nicht aussichtslos erscheint. Vorliegend ergibt sich aus den vorstehenden Erwägungen, dass die vom Beschwerdeführer gestellten Begehren aussichtslos erschienen. Das Gesuch um Gewährung der unentgeltlichen Rechtspflege im Sinne von Art. 65 Abs. 1 VwVG ist deshalb ungeachtet der prozessualen Bedürftigkeit des Beschwerdeführers abzuweisen.</w:t>
      </w:r>
    </w:p>
    <w:p>
      <w:r>
        <w:rPr>
          <w:b/>
        </w:rPr>
        <w:t>E. 8.2</w:t>
      </w:r>
    </w:p>
    <w:p>
      <w:r>
        <w:t>Bei diesem Ausgang des Verfahrens sind die Kosten dem Beschwerdeführer aufzuerlegen (Art. 63 Abs. 1 und 5 VwVG) und auf insgesamt Fr. 600.-- festzusetzen (Art. 1-3 des Reglements über die Kosten und Entschädigungen vor dem Bundesverwaltungsgericht vom 21. Februar 2008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