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D-912/2017 vom 20. Juli 2017</w:t>
      </w:r>
    </w:p>
    <w:p>
      <w:r>
        <w:t>Bundesverwaltungsgericht, 2017-07-20, DE</w:t>
      </w:r>
    </w:p>
    <w:p>
      <w:r>
        <w:rPr>
          <w:b/>
        </w:rPr>
        <w:t xml:space="preserve">Quelle: </w:t>
      </w:r>
      <w:r>
        <w:t>https://mcp.opencaselaw.ch/entscheid/bvger_D-912_2017</w:t>
      </w:r>
    </w:p>
    <w:p>
      <w:r>
        <w:t>FR: TAF D-912/2017 du 20 juillet 2017</w:t>
      </w:r>
    </w:p>
    <w:p>
      <w:r>
        <w:t>IT: TAF D-912/2017 del 20 luglio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Es handelt sich vorliegend um eine Teilanfechtung, welche sich auf die Wegweisung und den Vollzug der Wegweisung beschränkt, während die Verneinung der Flüchtlingseigenschaft und die Ablehnung des Asylgesuchs in Rechtskraft erwachsen sind.</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Das SEM begründete seine Verfügung damit, dass weder die allgemeine Lage in Belarus noch individuelle Gründe gegen die Zumutbarkeit sprächen. Die Beschwerdeführenden würden über solide Ausbildungen und genügend Arbeitserfahrung verfügen. Der Beschwerdeführer habe zudem angegeben, eine Invalidenrente erhalten zu haben und immer noch anspruchsberechtigt zu sein. Zudem sei eine medizinische Versorgung im Heimatstaat gewährleistet.</w:t>
      </w:r>
    </w:p>
    <w:p>
      <w:r>
        <w:rPr>
          <w:b/>
        </w:rPr>
        <w:t>E. 8.3</w:t>
      </w:r>
    </w:p>
    <w:p>
      <w:r>
        <w:t>In der Beschwerdeschrift wurde diesen Ausführungen entgegnet, der Beschwerdeführer sei aufgrund seiner im Heimatland erlittenen (...) auf einen chirurgischen Eingriff angewiesen. Eine medizinische Versorgung sei im Heimatland nicht gewährleistet. Der Beschwerdeführer sei trotz mehrerer Operationen in Belarus weder geheilt noch entsprechend nachbehandelt worden. Er leide derzeit an akuten chronischen Schmerzen in einem (...); dies (...) Jahre nach der erlittenen Verletzung. Er habe in der Heimat regelmässig eine grosse Dosis Analgetika eingenommen, welche jedoch kaum Wirkung gezeigt hätten und es habe keine adäquate Schmerzbehandlung gegeben, da diese zu kostenintensiv gewesen wäre. Demgegenüber würde die Schweiz wirksame Behandlungen aufweisen. (...). Über eine Prognose einer Therapie in der Schweiz sei noch nicht befunden worden. Derzeit würden aber Abklärungen laufen. Das Gericht werde über den weiteren Verlauf informiert. Es liege in der gerichtlichen Kompetenz, die angefochtene Verfügung aufzuheben und zur erneuten Entscheidung an die Vorinstanz zurückzuweisen.</w:t>
      </w:r>
    </w:p>
    <w:p>
      <w:r>
        <w:rPr>
          <w:b/>
        </w:rPr>
        <w:t>E. 8.4</w:t>
      </w:r>
    </w:p>
    <w:p>
      <w:r>
        <w:t>Das SEM hat den Wegweisungsvollzug zu Recht für zumutbar befunden, während sich die Einwände auf Beschwerdeebene als nicht stichhaltig erweisen. Bereits in der angefochtenen Verfügung wurde zutreffend ausgeführt, dass Belarus grundsätzlich über eine hinreichende medizinische Infrastruktur verfügt (vgl. Urteil des Bundesverwaltungsgerichts D-5413/2015 vom 7. Juni 2016 E. 7.4.3). Aus den Akten geht ferner hervor, dass der Beschwerdeführer in seinem Heimatstaat tatsächlich behandelt wurde. Somit würde er bei einer Rückkehr nicht in eine existenzielle Notlage geraten, weshalb der Wegweisungsvollzug zumutbar erscheint. Dass die medizinische Infrastruktur in Belarus nicht ein mit der Schweiz vergleichbares Niveau aufweist, stellt keinen hinreichenden Grund für die Annahme der Unzumutbarkeit des Wegweisungsvollzugs dar. 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Für deren Begleichung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