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D-912/2011 vom 16. Juni 2011</w:t>
      </w:r>
    </w:p>
    <w:p>
      <w:r>
        <w:t>Bundesverwaltungsgericht, 2011-06-16, DE</w:t>
      </w:r>
    </w:p>
    <w:p>
      <w:r>
        <w:rPr>
          <w:b/>
        </w:rPr>
        <w:t xml:space="preserve">Quelle: </w:t>
      </w:r>
      <w:r>
        <w:t>https://mcp.opencaselaw.ch/entscheid/bvger_D-912_2011</w:t>
      </w:r>
    </w:p>
    <w:p>
      <w:r>
        <w:t>FR: TAF D-912/2011 du 16 juin 2011</w:t>
      </w:r>
    </w:p>
    <w:p>
      <w:r>
        <w:t>IT: TAF D-912/2011 del 16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mit der Beschwerde gestellte Antrag auf Rückweisung der Sache an die Vorinstanz wurde in der Folge in keiner Weise begründet. Aus den Akten ergeben sich denn auch keine Hinweise, dass der rechtserhebliche Sachverhalt nicht genügend erstellt wurde und weitere Abklärungen der Vorinstanz nötig wären. Der Antrag auf Rückweisung der Sache an die Vorinstanz wird demnach abgewiesen.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BFM im Wesentlichen fest, die Vorbringen der Beschwerdeführenden seien nicht glaubhaft. Zunächst seien die Reiseangaben äusserst vage und auch teilweise widersprüchlich. So seien deren Angaben zur baulichen Ausstattung des Fahrzeugs widersprüchlich gewesen und sie hätten keinerlei Angaben zur Fahrstrecke machen können, obwohl der Fahrer Rom und eine Kommuni­kation somit möglich gewesen sei. Dass sie unterwegs nirgends kontrolliert worden seien, wiederspreche der allgemeinen Erfahrung im Schengenraum. Im Zusammenhang mit dem Überfall auf den Beschwerdeführer hätten die verschiedenen Familienmitglieder (inklusive den Eltern des Be­schwerdeführers) widersprüchliche Angaben zu dessen Zeitpunkt, der An­zahl der Täter und zum Zeitpunkt und den Bedingungen, unter denen sie davon erfahren hätten, gemacht (für die diesbezüglichen Einzelheiten wird auf die ausführlichen Erwägungen in der Verfügung des BFM verwie­sen). Des Weiteren habe der Beschwerdeführer bei der Erstbefragung erklärt, die drei Männer hätten ihm im Café gesagt, er müsse das Geld bereit machen und sie würden es dann bei ihm zu Hause abholen. Bei der Anhörung habe er jedoch zu Protokoll gegeben, er wisse nicht, wie die drei Männer genau zu dem von ihm verlangten Geld hätten kommen wollen. Auch im Zusammenhang mit den sexuellen Übergriffen auf die Beschwerdeführerin hätten die verschiedenen Familienmitglieder zum Zeitpunkt und den Bedingungen, unter denen sie davon erfahren hätten, widersprüchliche Angaben gemacht (für die Einzelheiten wird wiederum auf die Verfügung des BFM verwiesen). Ferner habe der Sohn der Beschwer­deführenden bei der Erstbefragung angegeben, nach dem Vorfall im Kaffee sei bis zur Ausreise nichts mehr passiert, was ihn und seine Familie zur Ausreise bewegt hätte, während er an der Anhörung gesagt habe, am 25. Oktober 2010 sei noch etwas vorgefallen und sein Vater habe ihm erzählt, dass die Männer nochmals vorbeigekommen seien. Im Weiteren habe er an der Erstbefragung erklärt, dass bei ihnen zu Hause wöchentlich zwei Männer vorbeigekommen seien und von seinem Vater 10'000 Euro verlangt hätten. Er habe die Männer vermutlich auch einmal gesehen, es seien grosse Männer mit Glatzen und blauen Augen gewesen. Auch der Vater des Beschwerdeführers habe erklärt, dass sein Sohn von den Erpressern ständig belästigt worden und es schon vor dem Vorfall im Kaffee zu Sticheleien gekommen sei. Die anderen Familienmitglieder hätten dies nicht erwähnt und der Beschwerdeführer habe erklärt, er habe vor und nach dem Überfall nie etwas mit diesen Personen zu tun gehabt. Bei der Anhörung habe der Sohn der Beschwerdeführenden dann dieselben Angaben wie die restlichen Familienmitglieder gemacht und auf den Widerspruch angesprochen erklärt, die Leute von denen er an der Erstbefragung gesprochen habe, seien Musikkollegen des Grossvaters gewesen. Diese Behauptung überzeuge jedoch nicht und müsse als Schutzbehauptung eingestuft werden. Schliesslich habe er zu Beginn der Anhörung erklärt, er habe den gemeinsamen Freund der Familie seit dem Hochwasser im Juli 2010 nie mehr gesehen, zu einem späteren Zeitpunkt dann jedoch gesagt, er sei noch am 25. Oktober 2010 bei diesem gewesen. Ferner hätten alle Familienmitglieder widersprüchliche Angaben zum Aufenthalt bei dem gemeinsamen Freund nach der Überschwemmungen, der Zahl der in Serbien lebenden Verwandten, dem Ablauf der Besuche beim Schuldirektor und der telefonischen Erreichbarkeit der Mutter der Beschwerdeführerin gemacht. Im Weiteren sei die Tatsache, dass die Beschwerdeführenden trotz der erlittenen Übergriffe und der grossen Angst vor einem erneuten Auftauchen der Erpresser bis zur Ausreise im Haus geblieben seien, angesichts der massiven Drohungen und der fehlenden Möglichkeit, die Erpresser durch Bezahlung zufriedenzustellen, nicht nachvollziehbar. Dies umso weniger als die Beschwerdeführerin in Y._______, eine rund 40 Kilometer entfernte Stadt mit 80 000 Einwohnern, über Verwandte verfüge. Ihre Aussagen, sie kennten niemanden beziehungsweise keinen Ort, wo sie sich verstecken könnten, vermöge vor diesem Hintergrund nicht zu überzeugen. Auch widerspreche es der allgemeinen Erfahrung, dass dem Beschwerdeführer beim Vorfall im Kaffee von den Erpressern keine Frist zur Bezahlung gesetzt worden sei. Selbst bei Wahrheitsunterstellung seien aber die geltend gemachten Übergriffe ohnehin nicht asylrelevant, da in Serbien vom Vorhandensein eines adäquaten Schutzes vor Übergriffen auszugehen sei. Vereinzelte Übergriffe durch Drittpersonen gegen Roma könnten zwar nicht restlos ausgeschlossen werden. Allerdings komme solchen Verfolgungsmassnahmen in der Regel keine asylrelevante Intensität zu. Zudem billige oder unterstütze der Staat solche Übergriffe nicht. Die von den Beschwerdeführenden dargelegten Vorfälle stellten auch in Serbien Straftatbestände dar, die strafrechtlich verfolgt würden. Falls Behördenvertreter mit niedrigen Chargen die notwendigen Untersuchungen trotz wiederholtem Intervenieren nicht einleiteten, bestehe die Möglichkeit, gegen diese auf dem Rechtsweg vorzugehen und die zustehenden Rechte bei höheren Instanzen einzufordern. Auch bei angeblich familiären Verbindungen der Erpresser zu den Gemeindebehörden hätten die Beschwerdeführenden so­mit die Möglichkeit gehabt, sich an übergeordnete Instanzen zu wenden. Dies hätten sie jedoch nicht getan. Was die Lage der ethnischen Minderheiten in Serbien betreffe, sei festzuhalten, dass sich diese im Zuge des demokratischen Wandels entspannt habe und das am 25. Februar 2002 in Kraft getretene Bundesgesetz zum Schutz und zur Freiheit der nationalen Minderheiten Angehörige ethnischer Minderheiten schütze. Auch die Roma seien als nationale Min­derheiten anerkannt worden. Gemäss diesem Minderheitengesetz erhielten die Minoritäten das Recht auf Schulbildung in der Muttersprache, das Recht auf Gebrauch der Muttersprache als Amtssprache sowie das Recht auf Information in eigener Sprache. Zudem sei auch deren proportionale Vertretung in öffentlichen Ämtern vorgesehen. Im Lichte dieser Ausführungen könne davon ausgegangen werden, dass die Deutsch und Romanes sprechenden Kinder der Beschwerdeführenden durchaus Zugang zum Schulsystem gehabt hätten. Dass deren im Ausland erworbene Schulzeugnisse nicht anerkannt worden seien, sei zudem nicht den serbi­schen Behörden anzulasten. Deren Entschluss widerspiegle vielmehr eine amtliche Vorschrift, wie sie in jedem Land bestehe. Ausserdem wäre es den Kindern zumutbar gewesen, die serbische Sprache zu erlernen, zumal sie schon vor längerer Zeit nach Serbien zurückgekehrt und vor dem Aufenthalt in Österreich bereits rund zwei Jahre in Serbien gewesen seien. Die im Übrigen geltend gemachten Nachteile aufgrund alltäglicher Schikanen (zum Beispiel angebliche Verweigerung der Sozialhilfe) und wirtschaftlicher Probleme der Roma in Serbien seien auf die allgemeine Situation in Serbien zurückzuführen und stellten somit keine asylbeachtliche Verfolgung dar, zumal die dafür notwendige Intensität fehle. Die von den Beschwerdeführenden eingereichte Verfügung bezüglich der nicht anerkannten Schuldokumente aus Dänemark sei kein Beleg, dass den Kindern der Zugang zur Schule verwehrt worden sei, und beziehe sich zudem lediglich auf das Jahr 2004.</w:t>
      </w:r>
    </w:p>
    <w:p>
      <w:r>
        <w:rPr>
          <w:b/>
        </w:rPr>
        <w:t>E. 5.2</w:t>
      </w:r>
    </w:p>
    <w:p>
      <w:r>
        <w:t>Die Beschwerdeführenden hielten dem in ihrer Beschwerde entgegen, sie hätten im Wesentlichen gleich lautende und glaubwürdige Angaben über ihre Asylgründe zu Protokoll gegeben. Bei der Darstellung von Sachverhalten durch mehrere Personen, welche bei einzelnen Begebenheiten nicht persönlich anwesend gewesen seien, müssten immer gewisse Abweichungen erwartet werden. Jeder mache seine Angaben aus seiner subjektiven Wahrnehmung heraus. Einhelligkeit im Grundsatz und ge­wisse Abweichungen im Detail sprächen eher für die Glaubwürdigkeit. Im Einzelnen sei es nicht realitätsfremd, dass im Schengenraum keine Kontrollen durchgeführt würden. Die Reise sei durch unbekanntes Gebiet gegangen und habe teilweise nachts stattgefunden, sodass keine detaillierten Angaben zum Reiseweg und zum Inneren des Fahrzeugs erwartet werden könnten. Die Tatsache, dass sie unterschiedliche Angaben darüber gemacht hätten, wann wer wem mit welcher Genauigkeit von den Übergriffen auf den Beschwerdeführer beziehungsweise der Vergewaltigung der Beschwerdeführerin erzählt habe, zeige auf, dass das subjektive Empfinden im Vordergrund gestanden habe und sie gerade wegen ihrer starken Betroffenheit dies heute nicht mehr wüssten, zumal gewisse dieser schambehafteter und Angst auslösender Informationen nur hinter vorgehaltener Hand weitergegeben würden. Weiter hätten ihnen ihre jahrelangen Erfahrungen mit den serbischen Behörden jede Illusion genommen, dass diese ihnen helfen würden. Es sei gerichtsnotorisch, dass die serbischen Behörden Anzeigen von Roma nicht nachkämen und Täter allenfalls warnten und mit ihnen zusammenarbeiteten. Viele Angehörige der Roma-Minderheit seien in Serbien Ziel von Übergriffen seitens der Zivilbevölkerung. Die Polizei handle nicht oder zu spät beziehungsweise begehe die Übergriffe selbst. Als Angehörige dieser Minderheit, sei ihnen deshalb wegen Kollektiv-Verfolgung Asyl zu gewähren. An dieser Schutzunwilligkeit der serbischen Behörden ändere auch das Minderheitenschutzgesetz nichts, da dieses in ihrem Fall nicht angewendet worden sei, hätten sie doch ansonsten staatliche Hilfe für den Wiederaufbau ihres Hauses erhalten.</w:t>
      </w:r>
    </w:p>
    <w:p>
      <w:r>
        <w:rPr>
          <w:b/>
        </w:rPr>
        <w:t>E. 5.3</w:t>
      </w:r>
    </w:p>
    <w:p>
      <w:r>
        <w:t>In seiner Vernehmlassung hielt das BFM bezüglich der Reise der Beschwerdeführenden in die Schweiz fest, es erscheine verwunderlich, dass sie 2000 Euro dafür bezahlt hätten, obwohl diese mit einem Pass visumsfrei möglich gewesen wäre, zumal sie in Serbien gemäss ihren Angaben in schlechten Verhältnissen gelebt hätten. Rumänien gehöre zudem noch nicht zum Schengenraum, weshalb durchaus von Grenzkontrollen ausgegangen werden könne. Die Situation der Roma im Allgemeinen stelle weder eine Kollektivverfolgung dar, noch bestünden Anzeichen, dass erlittene, alltägliche Diskriminierungen durch untere Behördenchargen oder Teile der Bevölkerung per se asylrelevante Vorbringen darstellten. Von einer Schutzunwilligkeit der Behörden könne, nicht ausgegangen werden, da sich die Beschwerdeführenden erst gar nicht an diese gewandt hätten. Angebliche frühere Negativerfahrungen stellten kein plausibles Argument dar und blieben eine blosse Schutzbehauptung. Im Übrigen werde davon ausgegangen, dass die Minderheitengesetzte in Serbien umgesetzt und greifen würden. Es existierten keine Anzeichen dafür, dass das Gegenteil der Fall sei.</w:t>
      </w:r>
    </w:p>
    <w:p>
      <w:r>
        <w:rPr>
          <w:b/>
        </w:rPr>
        <w:t>E. 5.4</w:t>
      </w:r>
    </w:p>
    <w:p>
      <w:r>
        <w:t>Die Beschwerdeführenden führten in ihrer Replik aus, eine Flucht geschehe unter erheblicher Furcht und Stress. Da könne nicht erwartet werden, dass die kostengünstigste und legalste Variante eingeschlagen werde. Die pauschale und ohne Angaben von Quellen geäusserte Behauptung, dass bezüglich der Roma in Serbien keine Kollektivverfolgung bestehe, widerspreche ihren glaubhaften Aussagen sowie einer Vielzahl von Aussagen anderer Asylbewerber der gleichen Herkunft. Angesichts der Vielzahl von Asylgesuchen von Roma aus Serbien könne, nicht behauptet werden, es existierten keine Anzeichen, dass die Minderheitengesetze nicht umgesetzt würden.</w:t>
      </w:r>
    </w:p>
    <w:p>
      <w:r>
        <w:rPr>
          <w:b/>
        </w:rPr>
        <w:t>E. 6.1</w:t>
      </w:r>
    </w:p>
    <w:p>
      <w:r>
        <w:t>Trotz der Bemühungen der Behörden zur Förderung der Gleichbehandlung, werden Roma in Serbien aber nach wie vor Opfer verschiedener Diskriminierungen, namentlich in den Bereichen Bildung, Arbeit, Woh­nen und Gesundheit, welche sie in eine prekäre Situation versetzen. Allein mit der Zugehörigkeit zur serbischen Minderheit der Roma und den in diesem Zusammenhang geltend gemachten widrigen Lebensumständen wird aber noch keine individuelle Betroffenheit im Sinne der asylrechtlichen Bestimmungen dargelegt.</w:t>
      </w:r>
    </w:p>
    <w:p>
      <w:r>
        <w:rPr>
          <w:b/>
        </w:rPr>
        <w:t>E. 6.1.1</w:t>
      </w:r>
    </w:p>
    <w:p>
      <w:r>
        <w:t>In jüngster Zeit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 die Beschwerdeführenden herstammen,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in jüngster Zeit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w:t>
      </w:r>
    </w:p>
    <w:p>
      <w:r>
        <w:rPr>
          <w:b/>
        </w:rPr>
        <w:t>E. 6.1.2</w:t>
      </w:r>
    </w:p>
    <w:p>
      <w:r>
        <w:t>Entgegen der Ansicht der Beschwerdeführenden kann nach dem Gesagten nicht davon gesprochen werden, dass sie als Roma in Serbien einer Kollektivverfolgung unterliegen, und es ist von einem adäquaten staatlichen Schutz durch die serbischen Behörden auszugehen. Zudem war die Schutzsuche - eventuell verbunden mit einer Wohnsitzänderung - für die Beschwerdeführenden auch zumutbar, konnte doch die Beschwerdeführerin innerhalb der Familie offen über die angebliche Vergewaltigung reden und wurde von der ganzen Familie unterstützt. Zudem waren sich die Beschwerdeführenden nach langen Aufenthalten in Deutschland, Dänemark und Österreich die westliche Kultur gewohnt und verfügten über finanzielle Mittel, sodass davon auszugehen ist, sie hätten sich an eine obere Instanz gewendet, hätten die Täter tatsächlich durch ihre Beziehungen eine Ahndung durch die lokale Polizei zu verhindern gewusst. Gemäss ihren eigenen Angaben haben die Beschwerdeführenden jedoch gänzlich darauf ver­zich­tet, die von ihnen geschilderte Verfolgung und Beein­träch­ti­gung staatlichen Stellen zu melden. Diesen Erwägungen vermögen die Beschwerdeführenden auf Rechtsmittelebene nichts Stichhaltiges entgegen zu halten. Insbesondere die in der Rechtsmitteleingabe geltend gemachten Vorbringen, sie würden aufgrund ihrer ethnischen Herkunft von der Polizei nicht ernst genommen, vermögen nach dem Gesagten nicht zu überzeugen.</w:t>
      </w:r>
    </w:p>
    <w:p>
      <w:r>
        <w:rPr>
          <w:b/>
        </w:rPr>
        <w:t>E. 6.2</w:t>
      </w:r>
    </w:p>
    <w:p>
      <w:r>
        <w:t>Zusammenfassend ist festzustellen, dass die Vorbringen der Beschwerdeführenden den Anforderungen an die Flüchtlingseigenschaft ge­mäss Art. 3 AsylG nicht genügen. Das BFM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Entscheide des Schweizerischen Bundesverwaltungsgerichts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allgemeine Lage in Serbien lässt nicht auf eine konkrete Gefährdung der Beschwerdeführenden im Falle einer Rückkehr schliessen. Zwar werden Angehörige der Roma - wie erwähnt - beim Zugang zu Bildung, Arbeit, Wohnen und Gesundheit diskriminiert. Diese Diskriminierun­gen erreichen indessen nicht ein Ausmass, das den Vollzug der Wegweisung allgemein als unzumutbar erscheinen liesse. Auch sprechen keine individuellen Gründe gegen die Zumutbarkeit der Rückkehr der Beschwerdeführenden. Das BFM ist zu Recht davon ausgegangen, dass sie in Serbien mit verschiedenen Verwandten und Freunden über ein familiäres- und soziales Beziehungsnetz verfügen, welches sie bei einer Rückkehr unterstützen kann. Auch im Ausland haben sie Verwandte, welche sie allenfalls finanziell unterstützen können. Der Einwand, sie hätten zu ihren Verwandten kaum Kontakt, kann angesichts des kulturell bedingten engen Zusammenhalts in der Romagemeinschaft, nicht geglaubt werden. Auch ist davon auszugehen, dass ihnen ihr Freund E._______ weiterhin helfen wird, ist er doch offenbar ein sehr enger Freund der Familie, welcher sein Haus von ihnen gekauft hat, und haben sie doch schon über längere Zeit bei ihm unterkommen können. Die Beschwerdeführenden hatten bis vor ihrer Ausreise aus Serbien von der Nutztierhaltung gelebt und besitzen in Serbien ein Grundstück mit einem - wenn auch offenbar renovierungsbedürftigen - Haus. Es ist ihnen - trotz der wirtschaftlich schwierigen Lage in Serbien, insbesondere für Angehörige der Ethnie der Roma - zuzumuten, eine neue Lebensgrundlage aufzubauen.</w:t>
      </w:r>
    </w:p>
    <w:p>
      <w:r>
        <w:rPr>
          <w:b/>
        </w:rPr>
        <w:t>E. 8.4.2</w:t>
      </w:r>
    </w:p>
    <w:p>
      <w:r>
        <w:t>Die schulpflichtigen Kinder der Beschwerdeführenden hatten vor ihrer Ausreise angeblich Schwierigkeiten beim Zugang zur Schule, weil ihre Zeugnisse nicht anerkannt worden seien und sie kein serbisch sprächen. Der von den Beschwerdeführenden eingereichte Entscheid des Bildungs­ministeriums aus dem Jahr 2004 vermag jedoch nicht zu belegen, dass sie bei ihrer Rückkehr im Jahr 2008 aus Österreich weiterhin nicht zur Schule haben gehen können. Zwar wird berichtet, dass gerade Kinder von Rückkehrern Mühe haben, die nötigen Dokumente für die Registration in den Schulen zu erhalten (ERRC, a.a.O., Ziff. 25 ff.). Gleichzeitig bestehen aber spezielle Programme für Kinder die im Ausland eingeschult wurden und der Unterricht in Serbien wird zum Teil auch in Romanes angeboten (Le Courrier des Balkans, Migrations: la détresse des jeunes Rroms «réadmis» en Serbie, 22. Oktober 2009; US Department of State, Country Report on Human Rights Practices 2009, 11. März 2010).</w:t>
      </w:r>
    </w:p>
    <w:p>
      <w:r>
        <w:rPr>
          <w:b/>
        </w:rPr>
        <w:t>E. 8.4.3</w:t>
      </w:r>
    </w:p>
    <w:p>
      <w:r>
        <w:t>Gemäss Arztberichten vom 31. Januar 2011 und vom 9. Mai 2011 befand sich die Beschwerdeführerin zu Beginn der psychiatrischen Behandlung, welche seit dem 17. Januar 2011 andauert, in einem ängstlich depressiven Zustand mit schwerer innerer Unruhe, starker Nervosität, emotionaler Labilität, Schlafstörungen, subakuter Suizidalität sowie Symptomen einer posttraumatischen Belastungsstörung. Inzwischen bestünden massive Schwierigkeiten bei der Alltagsbewältigung. Weiterhin imponiere eine ängstlich-depressive Symptomatik mit depressiver Grundstimmung mittelschwerer Ausprägung, ausgeprägten panischen Ängsten, Schlafstörungen mit Alpträumen, Appetitverlust, Libidoverlust und latenter Suizidalität. Der Zustand der Beschwerdeführerin sei gegenwärtig nicht mehr als akut jedoch als latent suizidal zu beurteilen. Diesbezüglich kann festgehalten werden, dass die Beschwerdeführerin bei einer Rückkehr auf die in Serbien bestehende medizinische Infrastruktur zurückgreifen kann, welche eine Therapie ihrer Beschwerden zulassen. Zwar haben Roma in Serbien verschiedenen Quellen zufolge nur beschränkt Zugang zu medizinischer Versorgung. Dies hängt jedoch hauptsächlich damit zusammen, dass sie oft weder über Dokumente noch eine feste Wohnsitzadresse verfügen (vgl. ERRC, a.a.O., Ziff. 29 f.; Urteil des Bundesverwaltungsgerichts E-2444/2007 vom 2. Juli 2010 mit weiteren Hinweisen). Dies dürfte auf die Beschwerdeführenden aber nicht zutreffen, besitzen sie doch Identitätskarten und ein Grundstück mit einem Haus in Z._______, sodass sie nicht wie andere Roma in einer illegalen Siedlung leben mussten. Zudem hat die serbische Regierung jüngst 45 Roma-Ge­sund­heitsmediatoren eingestellt (ERRC, a.a.O., Ziff. 29 f.). Schliesslich besteht auch die Möglichkeit, medizinische Rückkehrhilfe in Anspruch zu nehmen. Es ist demnach nicht davon auszugehen, die gesundheitlichen Pro­bleme der Beschwerdeführerin würden im Falle des Vollzugs der Wegwei­sung nach Serbien mangels ausreichender medizinischer Behandlungsmöglichkeiten eine drastische und lebensbedrohende Verschlechterung ihres Gesundheitszustandes nach sich ziehen. In Bezug auf die latente Suizidgefahr ist dem BFM beizupflichten, welches auf die Möglichkeit sta­bilisierender Massnahmen in Bezug auf die Rückkehr verweist.</w:t>
      </w:r>
    </w:p>
    <w:p>
      <w:r>
        <w:rPr>
          <w:b/>
        </w:rPr>
        <w:t>E. 8.4.4</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VwVG). Die Beschwerdebegehren sind jedoch nach dem Gesagten nicht als aussichtslos zu bezeichnen und die eingeforderte Fürsorgebestätigung wurde am 21. Februar 2011 zu den Akten gereicht. Das mit der Beschwerde gestellte Gesuch um Gewährung der unentgeltlichen Rechtspflege im Sinne von Art. 65 Abs. 1 VwVG ist somit gutzuheissen und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