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D-908/2022 vom 10. Februar 2022</w:t>
      </w:r>
    </w:p>
    <w:p>
      <w:r>
        <w:t>Bundesverwaltungsgericht, 2022-02-10, DE</w:t>
      </w:r>
    </w:p>
    <w:p>
      <w:r>
        <w:rPr>
          <w:b/>
        </w:rPr>
        <w:t xml:space="preserve">Quelle: </w:t>
      </w:r>
      <w:r>
        <w:t>https://mcp.opencaselaw.ch/entscheid/bvger_D-908_2022_d20220210</w:t>
      </w:r>
    </w:p>
    <w:p>
      <w:r>
        <w:t>FR: TAF D-908/2022 du 10 février 2022</w:t>
      </w:r>
    </w:p>
    <w:p>
      <w:r>
        <w:t>IT: TAF D-908/2022 del 10 febbraio 2022</w:t>
      </w:r>
    </w:p>
    <w:p>
      <w:pPr>
        <w:pStyle w:val="Heading2"/>
      </w:pPr>
      <w:r>
        <w:t>Regeste</w:t>
      </w:r>
    </w:p>
    <w:p>
      <w:r>
        <w:t>Nichteintreten auf Asylgesuch und Wegweisung (Dublin-Verfahren) | Nichteintreten auf Asylgesuch und Wegweisung (Dublin-Verfahren); Verfügung des SEM vom 10. Februar 2022</w:t>
      </w:r>
    </w:p>
    <w:p>
      <w:pPr>
        <w:pStyle w:val="Heading2"/>
      </w:pPr>
      <w:r>
        <w:t>Erwägungen</w:t>
      </w:r>
    </w:p>
    <w:p>
      <w:r>
        <w:rPr>
          <w:b/>
        </w:rPr>
        <w:t>E. 26</w:t>
      </w:r>
    </w:p>
    <w:p>
      <w:r>
        <w:t>Juni 2013 zur Festlegung von Normen für die Aufnahme von Personen, die internationalen Schutz beantragen (Aufnahmerichtlinie) ergeben, dass das SEM dementsprechend in seiner Verfügung zu Recht feststellte, es lägen keine begründeten Hinweise vor, dass Belgien seinen völkerrecht- lichen Verpflichtungen nicht nachgekommen wäre und das Asyl- und Weg- weisungsverfahren nicht korrekt durchgeführt hätte, dass es in Bezug auf geltend gemachte fehlende Sozialhilfe ebenfalls rich- tig darauf hinwies, dass sich Art und Umfang der Unterstützung, auf welche der Beschwerdeführer Anspruch habe, nach der nationalen Gesetzgebung richte, dass die generellen Vorbringen des Beschwerdeführers zum fehlenden Schutz in Belgien somit offensichtlich nicht geeignet sind, ein individuelles Überstellungsverbot zu begründen, dass dies auch für die vom Beschwerdeführer geltend gemachten gesund- heitlichen Probleme und vereinbarten Arzttermine gilt, zumal er gemäss seinen Angaben auch in Belgien medizinisch behandelt worden sei und diesen Problemen im Rahmen der Überstellung Rechnung getragen wer- den kann, dass der Beschwerdeführer nach dem Gesagten kein konkretes und ernst- haftes Risiko dargetan hat, die belgischen Behörden würden sich weigern</w:t>
      </w:r>
    </w:p>
    <w:p>
      <w:r>
        <w:t>D-908/2022 Seite 6 ihn wieder aufzunehmen und seinen Antrag auf internationalen Schutz un- ter Einhaltung der Regeln der erwähnten Richtlinien zu prüfen, dass den Akten auch keine Gründe für die Annahme zu entnehmen sind, Belgien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Belgien angeordnet hat (Art. 32 Bst. a AsylV 1), dass das Fehlen von Überstellungshindernissen bereits Voraussetzung des Nichteintretensentscheids gemäss Art. 31a Abs. 1 Bst. b AsylG ist, weshalb allfällige Vollzugshindernisse gemäss Art. 83 Abs. 3 und 4 des Bundesgesetzes vom 16. Dezember 2005 über die Ausländerinnen und Ausländer und über die Integration (AIG; SR 142.20) unter diesen Umstän- den nicht mehr zu prüfen (vgl. BVGE 2015/18 E. 5.2 m.w.H.) sind,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 geltlichen Rechtspflege abzuweisen ist, da die Begehren – wie sich aus den vorstehenden Erwägungen ergibt – als aussichtlos zu bezeichnen wa- ren, weshalb die Voraussetzungen von Art. 65 Abs. 1 VwVG nicht erfüllt sind,</w:t>
      </w:r>
    </w:p>
    <w:p>
      <w:r>
        <w:t>D-908/2022 Seite 7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D-908/2022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