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D-907/2024 vom 26. Januar 2024</w:t>
      </w:r>
    </w:p>
    <w:p>
      <w:r>
        <w:t>Bundesverwaltungsgericht, 2024-01-26, FR</w:t>
      </w:r>
    </w:p>
    <w:p>
      <w:r>
        <w:rPr>
          <w:b/>
        </w:rPr>
        <w:t xml:space="preserve">Quelle: </w:t>
      </w:r>
      <w:r>
        <w:t>https://mcp.opencaselaw.ch/entscheid/bvger_D-907_2024_d20240126</w:t>
      </w:r>
    </w:p>
    <w:p>
      <w:r>
        <w:t>FR: TAF D-907/2024 du 26 janvier 2024</w:t>
      </w:r>
    </w:p>
    <w:p>
      <w:r>
        <w:t>IT: TAF D-907/2024 del 26 gennaio 2024</w:t>
      </w:r>
    </w:p>
    <w:p>
      <w:pPr>
        <w:pStyle w:val="Heading2"/>
      </w:pPr>
      <w:r>
        <w:t>Regeste</w:t>
      </w:r>
    </w:p>
    <w:p>
      <w:r>
        <w:t>Asile et renvoi | Asile et renvoi; décision du SEM du 26 janvier 2024</w:t>
      </w:r>
    </w:p>
    <w:p>
      <w:pPr>
        <w:pStyle w:val="Heading2"/>
      </w:pPr>
      <w:r>
        <w:t>Erwägungen</w:t>
      </w:r>
    </w:p>
    <w:p>
      <w:r>
        <w:rPr>
          <w:b/>
        </w:rPr>
        <w:t>E. 17</w:t>
      </w:r>
    </w:p>
    <w:p>
      <w:r>
        <w:t>janvier 2024, Q. 5), qu’il a certes allégué avoir vécu dans le centre pour requérants d’asile dans lequel il était hébergé des événements qui l’auraient affecté psychologiquement (cf. procès-verbal de l’audition du 17 janvier 2024, Q. 6 ss), que comme relevé à juste titre par le SEM, ces problèmes psychologiques n’apparaissent toutefois clairement pas d’une gravité telle à constituer un obstacle à l’exécution du renvoi de l’intéressé, que celui-ci ne le prétend d’ailleurs pas dans son recours, qu’au demeurant, si le besoin s’en faisait sentir, il pourrait à nouveau faire appel à l’infrastructure médicale turque, que la Turquie dispose en effet d’infrastructures manifestement suffisantes dans le domaine des soins psychiatriques, même en cas d’une éventuelle péjoration passagère nécessitant un traitement stationnaire, une partie</w:t>
      </w:r>
    </w:p>
    <w:p>
      <w:r>
        <w:t>D-907/2024 Page 11 importante des coûts afférents pouvant être prise en charge par l’assurance maladie universelle turque (cf. arrêt du Tribunal D-4227/2023 du 20 février 2024 et jurisp. cit.), que de surcroît, le recourant dispose d’un solide réseau familial – comme relevé ci-dessus – et social dans son pays,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l'exécution du renvoi est enfin possible (art. 83 al. 2 LEI ; cf. ATAF 2008/34 consid. 12 et jurisp. cit.), le recourant étant en possession d’une carte d’identité (déposée au dossier) et étant tenu, le cas échéant, de collaborer à l'obtention de documents de voyage lui permettant de retourner dans son pays d'origine (art. 8 al. 4 LAsi), qu’en conséquence, le recours doit également être rejeté, en tant qu’il porte sur l’exécution du renvoi, que, dès lors,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doit être rejetée (art. 65 al. 1 PA), qu’aussi,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D-907/2024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